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E7" w:rsidRDefault="00167AE7" w:rsidP="004E0ED8">
      <w:pPr>
        <w:pStyle w:val="Body"/>
        <w:ind w:right="261"/>
        <w:jc w:val="center"/>
        <w:rPr>
          <w:rFonts w:eastAsia="Calibri"/>
          <w:b/>
          <w:bCs/>
          <w:iCs/>
          <w:color w:val="FF0000"/>
          <w:sz w:val="28"/>
          <w:szCs w:val="28"/>
        </w:rPr>
      </w:pPr>
    </w:p>
    <w:p w:rsidR="00A6609A" w:rsidRPr="005E1EB8" w:rsidRDefault="0016694D" w:rsidP="004E0ED8">
      <w:pPr>
        <w:pStyle w:val="Body"/>
        <w:ind w:right="261"/>
        <w:jc w:val="center"/>
        <w:rPr>
          <w:rFonts w:eastAsia="Calibri"/>
          <w:b/>
          <w:bCs/>
          <w:iCs/>
          <w:color w:val="FF0000"/>
          <w:sz w:val="28"/>
          <w:szCs w:val="28"/>
        </w:rPr>
      </w:pPr>
      <w:r w:rsidRPr="005E1EB8">
        <w:rPr>
          <w:rFonts w:eastAsia="Calibri"/>
          <w:b/>
          <w:bCs/>
          <w:iCs/>
          <w:color w:val="auto"/>
          <w:sz w:val="28"/>
          <w:szCs w:val="28"/>
        </w:rPr>
        <w:t>Greater Manchester Combin</w:t>
      </w:r>
      <w:r w:rsidR="00142834">
        <w:rPr>
          <w:rFonts w:eastAsia="Calibri"/>
          <w:b/>
          <w:bCs/>
          <w:iCs/>
          <w:color w:val="auto"/>
          <w:sz w:val="28"/>
          <w:szCs w:val="28"/>
        </w:rPr>
        <w:t>e</w:t>
      </w:r>
      <w:r w:rsidRPr="005E1EB8">
        <w:rPr>
          <w:rFonts w:eastAsia="Calibri"/>
          <w:b/>
          <w:bCs/>
          <w:iCs/>
          <w:color w:val="auto"/>
          <w:sz w:val="28"/>
          <w:szCs w:val="28"/>
        </w:rPr>
        <w:t>d Authority</w:t>
      </w:r>
    </w:p>
    <w:p w:rsidR="004E0ED8" w:rsidRPr="004E0ED8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Role Profile</w:t>
      </w:r>
    </w:p>
    <w:p w:rsidR="004E0ED8" w:rsidRDefault="004E0ED8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tbl>
      <w:tblPr>
        <w:tblW w:w="10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4536"/>
        <w:gridCol w:w="1842"/>
        <w:gridCol w:w="2426"/>
      </w:tblGrid>
      <w:tr w:rsidR="000A3C97" w:rsidRPr="00B70125" w:rsidTr="00550AAD">
        <w:trPr>
          <w:trHeight w:val="278"/>
          <w:jc w:val="center"/>
        </w:trPr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97" w:rsidRPr="00435F83" w:rsidRDefault="000A3C97" w:rsidP="000A3C97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Title: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97" w:rsidRPr="00435F83" w:rsidRDefault="000577C9" w:rsidP="006C6C1B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  <w:lang w:val="en-GB"/>
              </w:rPr>
              <w:t>Senior</w:t>
            </w:r>
            <w:r w:rsidR="0014283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50AAD">
              <w:rPr>
                <w:rFonts w:ascii="Arial" w:hAnsi="Arial" w:cs="Arial"/>
                <w:sz w:val="22"/>
                <w:szCs w:val="22"/>
                <w:lang w:val="en-GB"/>
              </w:rPr>
              <w:t xml:space="preserve">Planning Officer </w:t>
            </w:r>
            <w:r w:rsidR="00142834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="006C6C1B">
              <w:rPr>
                <w:rFonts w:ascii="Arial" w:hAnsi="Arial" w:cs="Arial"/>
                <w:sz w:val="22"/>
                <w:szCs w:val="22"/>
                <w:lang w:val="en-GB"/>
              </w:rPr>
              <w:t>Planning</w:t>
            </w:r>
            <w:r w:rsidR="00142834">
              <w:rPr>
                <w:rFonts w:ascii="Arial" w:hAnsi="Arial" w:cs="Arial"/>
                <w:sz w:val="22"/>
                <w:szCs w:val="22"/>
                <w:lang w:val="en-GB"/>
              </w:rPr>
              <w:t xml:space="preserve"> Strategy</w:t>
            </w:r>
            <w:bookmarkEnd w:id="0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97" w:rsidRPr="00435F83" w:rsidRDefault="000A3C97" w:rsidP="00A44858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97" w:rsidRPr="00435F83" w:rsidRDefault="006C6C1B" w:rsidP="00142834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April</w:t>
            </w:r>
            <w:r w:rsidR="00142834">
              <w:rPr>
                <w:rFonts w:ascii="Arial" w:hAnsi="Arial" w:cs="Arial"/>
                <w:sz w:val="22"/>
                <w:szCs w:val="22"/>
                <w:lang w:val="en-GB"/>
              </w:rPr>
              <w:t xml:space="preserve"> 2019</w:t>
            </w:r>
          </w:p>
        </w:tc>
      </w:tr>
      <w:tr w:rsidR="000A3C97" w:rsidRPr="00B70125" w:rsidTr="00550AAD">
        <w:trPr>
          <w:trHeight w:val="377"/>
          <w:jc w:val="center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97" w:rsidRPr="00435F83" w:rsidRDefault="000A3C97" w:rsidP="000A3C97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Reporting Line: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97" w:rsidRPr="00E9790D" w:rsidRDefault="00142834" w:rsidP="006C6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Head of </w:t>
            </w:r>
            <w:r w:rsidR="006C6C1B">
              <w:rPr>
                <w:rFonts w:ascii="Arial" w:hAnsi="Arial" w:cs="Arial"/>
                <w:sz w:val="22"/>
                <w:szCs w:val="22"/>
                <w:lang w:val="en-GB"/>
              </w:rPr>
              <w:t>Planning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Strategy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97" w:rsidRPr="00435F83" w:rsidRDefault="00A44858" w:rsidP="008674DC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b/>
                <w:sz w:val="22"/>
                <w:szCs w:val="22"/>
                <w:lang w:val="en-GB"/>
              </w:rPr>
              <w:t>Job Level: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099" w:rsidRPr="00435F83" w:rsidRDefault="00435F83" w:rsidP="003709E9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sz w:val="22"/>
                <w:szCs w:val="22"/>
                <w:lang w:val="en-GB"/>
              </w:rPr>
              <w:t xml:space="preserve">Grade </w:t>
            </w:r>
            <w:r w:rsidR="00F07D90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</w:tr>
      <w:tr w:rsidR="000A3C97" w:rsidRPr="00B70125" w:rsidTr="00550AAD">
        <w:trPr>
          <w:trHeight w:val="243"/>
          <w:jc w:val="center"/>
        </w:trPr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97" w:rsidRPr="00435F83" w:rsidRDefault="00A44858" w:rsidP="009A5AA0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97" w:rsidRPr="00435F83" w:rsidRDefault="00E9790D" w:rsidP="00E9790D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Policy, Strategy and Research</w:t>
            </w:r>
            <w:r w:rsidR="007034DA" w:rsidRPr="00435F83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3C97" w:rsidRPr="00435F83" w:rsidRDefault="000A3C97" w:rsidP="00A44858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Business Area: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3C97" w:rsidRPr="00435F83" w:rsidRDefault="00435F83" w:rsidP="008674DC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F83">
              <w:rPr>
                <w:rFonts w:ascii="Arial" w:hAnsi="Arial" w:cs="Arial"/>
                <w:sz w:val="22"/>
                <w:szCs w:val="22"/>
                <w:lang w:val="en-GB"/>
              </w:rPr>
              <w:t>Strategy</w:t>
            </w:r>
            <w:r w:rsidR="007034DA" w:rsidRPr="00435F8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4E0ED8" w:rsidRDefault="004E0ED8" w:rsidP="00A6609A">
      <w:pPr>
        <w:pStyle w:val="Body"/>
        <w:ind w:left="142" w:right="261" w:hanging="108"/>
        <w:jc w:val="both"/>
        <w:rPr>
          <w:rFonts w:eastAsia="Calibri"/>
          <w:b/>
          <w:bCs/>
          <w:iCs/>
        </w:rPr>
      </w:pPr>
    </w:p>
    <w:tbl>
      <w:tblPr>
        <w:tblW w:w="10348" w:type="dxa"/>
        <w:tblInd w:w="-7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07D90" w:rsidRPr="00237C6B" w:rsidTr="009F2BC6">
        <w:trPr>
          <w:trHeight w:val="180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D90" w:rsidRPr="00237C6B" w:rsidRDefault="00F07D90" w:rsidP="009F2BC6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CONTEXT</w:t>
            </w:r>
          </w:p>
        </w:tc>
      </w:tr>
      <w:tr w:rsidR="00F07D90" w:rsidRPr="00CA310E" w:rsidTr="009F2BC6">
        <w:trPr>
          <w:trHeight w:val="180"/>
        </w:trPr>
        <w:tc>
          <w:tcPr>
            <w:tcW w:w="10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05480C" w:rsidRPr="0005480C" w:rsidRDefault="0005480C" w:rsidP="0005480C">
            <w:pPr>
              <w:pStyle w:val="NormalWeb"/>
              <w:ind w:left="-222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 xml:space="preserve">Greater Manchester is one of the country's most successful city-regions. Our vision is to make Greater Manchester one of the best places in the world to grow up, get on and grow old. </w:t>
            </w:r>
          </w:p>
          <w:p w:rsidR="0005480C" w:rsidRPr="0005480C" w:rsidRDefault="0005480C" w:rsidP="0005480C">
            <w:pPr>
              <w:pStyle w:val="NormalWeb"/>
              <w:ind w:left="-222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 xml:space="preserve">The Greater Manchestrer Combined Authority comprises the ten Greater Manchester Council’s and the Mayor, who work with other public services – Transport for Greater Manchester, Police, Fire and Rescue Service and the Health and Social Care Partnership as well as businesses, communities and other partners to improve the city-region. </w:t>
            </w:r>
          </w:p>
          <w:p w:rsidR="0005480C" w:rsidRPr="0005480C" w:rsidRDefault="0005480C" w:rsidP="0005480C">
            <w:pPr>
              <w:pStyle w:val="NormalWeb"/>
              <w:ind w:left="-222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The Planning and Housing Policy team leads the Combined Authorities work on strategic planning and housing related issues.  The team is responsible for a wide portfolio of key pieces of work, with the main functions including: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leading the work by the GMCA and districts on the GM Spatial Framework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leading on work to deliver accelerated housing growth to meet the needs of GM residents, including developing strategic relationship with Government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producing and implementing the Housing Strategy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leading work on the Mayor’s Town Centre Challenge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leading work on the Greater Manchester Infrastructure Plan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working with districts to progress Mayoral Development Corporations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connecting to Greater Manchester districts, other Combined Authority functions including TfGM, and key stakeholders including the private sector and GM Housing Providers, to maximise collective buy-in and joint working to deliver the Combined Authorities Strategy priorities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providing technical planning and housing policy advice and comment to the Mayor's Office and Portfolio Holder for Housing, Homelessness and Infrastructure</w:t>
            </w:r>
          </w:p>
          <w:p w:rsidR="0005480C" w:rsidRPr="0005480C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leading the Greater Manchester approach to strategic flood and water risk management</w:t>
            </w:r>
          </w:p>
          <w:p w:rsidR="00F07D90" w:rsidRPr="00CA310E" w:rsidRDefault="0005480C" w:rsidP="0005480C">
            <w:pPr>
              <w:pStyle w:val="NormalWeb"/>
              <w:numPr>
                <w:ilvl w:val="0"/>
                <w:numId w:val="7"/>
              </w:numPr>
              <w:ind w:left="345" w:hanging="284"/>
            </w:pPr>
            <w:r w:rsidRPr="0005480C">
              <w:rPr>
                <w:rFonts w:ascii="Arial" w:hAnsi="Arial" w:cs="Arial"/>
                <w:color w:val="212529"/>
                <w:sz w:val="22"/>
                <w:szCs w:val="22"/>
                <w:lang w:val="en"/>
              </w:rPr>
              <w:t>leading and co-ordinating the GMCA response to Government consultations on planning and housing matters</w:t>
            </w:r>
          </w:p>
        </w:tc>
      </w:tr>
    </w:tbl>
    <w:p w:rsidR="00F07D90" w:rsidRPr="00CA310E" w:rsidRDefault="00F07D90" w:rsidP="00F07D90">
      <w:pPr>
        <w:pStyle w:val="Body"/>
        <w:ind w:left="142" w:right="261" w:hanging="851"/>
        <w:jc w:val="both"/>
        <w:rPr>
          <w:rFonts w:eastAsia="Calibri"/>
          <w:b/>
          <w:bCs/>
          <w:iCs/>
        </w:rPr>
      </w:pPr>
    </w:p>
    <w:p w:rsidR="00F07D90" w:rsidRPr="00CA310E" w:rsidRDefault="00F07D90" w:rsidP="00A6609A">
      <w:pPr>
        <w:pStyle w:val="Body"/>
        <w:ind w:left="142" w:right="261" w:hanging="108"/>
        <w:jc w:val="both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CA310E" w:rsidTr="00D2038C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CA310E" w:rsidRDefault="00A6609A" w:rsidP="00D2038C">
            <w:pPr>
              <w:pStyle w:val="Heading3"/>
              <w:ind w:left="21" w:right="261"/>
              <w:rPr>
                <w:sz w:val="22"/>
                <w:szCs w:val="22"/>
                <w:lang w:val="en-GB"/>
              </w:rPr>
            </w:pPr>
            <w:r w:rsidRPr="00CA310E">
              <w:rPr>
                <w:rFonts w:eastAsia="Calibri"/>
                <w:sz w:val="22"/>
                <w:szCs w:val="22"/>
                <w:lang w:val="en-GB"/>
              </w:rPr>
              <w:t>JOB PURPOSE</w:t>
            </w:r>
          </w:p>
        </w:tc>
      </w:tr>
      <w:tr w:rsidR="00A6609A" w:rsidRPr="00CA310E" w:rsidTr="00AF7352">
        <w:trPr>
          <w:trHeight w:val="1094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415A" w:rsidRPr="00CA310E" w:rsidRDefault="00FE447E" w:rsidP="00CA3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The postholder will work 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with</w:t>
            </w:r>
            <w:r w:rsidR="00BD4524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in the Planning &amp; Housing team</w:t>
            </w:r>
            <w:r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</w:t>
            </w:r>
            <w:r w:rsidR="00D74B35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providing high quality 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policy advice on strategic </w:t>
            </w:r>
            <w:r w:rsidR="006C6C1B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planning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issues to GMCA and its partners. </w:t>
            </w:r>
            <w:r w:rsidR="006626D8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Working with districts, colleagues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across the GMCA,</w:t>
            </w:r>
            <w:r w:rsidR="006626D8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and external partners</w:t>
            </w:r>
            <w:r w:rsidR="00806699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in a complex, changing and political environment</w:t>
            </w:r>
            <w:r w:rsidR="006626D8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, you will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</w:t>
            </w:r>
            <w:r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contribute to the development of </w:t>
            </w:r>
            <w:r w:rsidR="006C6C1B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strategic planning policy</w:t>
            </w:r>
            <w:r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in the city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region and work to achieve</w:t>
            </w:r>
            <w:r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 the delivery of the Greater Manchester Strategy’s ambitions, including through the development and implementation of the Grea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 xml:space="preserve">ter Manchester </w:t>
            </w:r>
            <w:r w:rsidR="006C6C1B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Spatial Framework</w:t>
            </w:r>
            <w:r w:rsidR="00040EE3" w:rsidRPr="00CA310E">
              <w:rPr>
                <w:rFonts w:ascii="Arial" w:eastAsia="Trebuchet MS" w:hAnsi="Arial" w:cs="Arial"/>
                <w:sz w:val="22"/>
                <w:szCs w:val="22"/>
                <w:lang w:val="en-GB"/>
              </w:rPr>
              <w:t>.</w:t>
            </w:r>
          </w:p>
          <w:p w:rsidR="00AE415A" w:rsidRPr="00CA310E" w:rsidRDefault="00AE415A" w:rsidP="00D74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contextualSpacing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</w:p>
        </w:tc>
      </w:tr>
    </w:tbl>
    <w:p w:rsidR="00A6609A" w:rsidRDefault="00A6609A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Pr="00B70125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B70125" w:rsidTr="00D2038C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B70125" w:rsidRDefault="00A6609A" w:rsidP="00D2038C">
            <w:pPr>
              <w:pStyle w:val="Body"/>
              <w:ind w:right="261"/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 xml:space="preserve">KEY RESPONSIBILITIES </w:t>
            </w:r>
          </w:p>
        </w:tc>
      </w:tr>
      <w:tr w:rsidR="00A6609A" w:rsidRPr="004F2400" w:rsidTr="005E1EB8">
        <w:trPr>
          <w:trHeight w:val="1077"/>
          <w:jc w:val="center"/>
        </w:trPr>
        <w:tc>
          <w:tcPr>
            <w:tcW w:w="103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31E" w:rsidRPr="004F2400" w:rsidRDefault="005D731E" w:rsidP="002D3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0000" w:themeColor="text1"/>
                <w:spacing w:val="-2"/>
                <w:sz w:val="22"/>
                <w:szCs w:val="22"/>
              </w:rPr>
            </w:pPr>
            <w:r w:rsidRPr="004F2400">
              <w:rPr>
                <w:rFonts w:ascii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Main Duties and Responsibilities:</w:t>
            </w:r>
          </w:p>
          <w:p w:rsidR="005D731E" w:rsidRPr="004F2400" w:rsidRDefault="005D731E" w:rsidP="002D33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/>
              <w:rPr>
                <w:color w:val="000000" w:themeColor="text1"/>
                <w:spacing w:val="-2"/>
              </w:rPr>
            </w:pPr>
          </w:p>
          <w:p w:rsidR="002A0C05" w:rsidRPr="004F2400" w:rsidRDefault="00040EE3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 w:hanging="284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 xml:space="preserve">With the </w:t>
            </w:r>
            <w:r w:rsidR="000577C9" w:rsidRPr="004F2400">
              <w:rPr>
                <w:color w:val="000000" w:themeColor="text1"/>
                <w:spacing w:val="-2"/>
              </w:rPr>
              <w:t>Principal (</w:t>
            </w:r>
            <w:r w:rsidR="006C6C1B" w:rsidRPr="004F2400">
              <w:rPr>
                <w:color w:val="000000" w:themeColor="text1"/>
                <w:spacing w:val="-2"/>
              </w:rPr>
              <w:t>Planning</w:t>
            </w:r>
            <w:r w:rsidR="005D731E" w:rsidRPr="004F2400">
              <w:rPr>
                <w:color w:val="000000" w:themeColor="text1"/>
                <w:spacing w:val="-2"/>
              </w:rPr>
              <w:t xml:space="preserve"> Strategy</w:t>
            </w:r>
            <w:r w:rsidR="000577C9" w:rsidRPr="004F2400">
              <w:rPr>
                <w:color w:val="000000" w:themeColor="text1"/>
                <w:spacing w:val="-2"/>
              </w:rPr>
              <w:t xml:space="preserve">), </w:t>
            </w:r>
            <w:r w:rsidRPr="004F2400">
              <w:rPr>
                <w:color w:val="000000" w:themeColor="text1"/>
                <w:spacing w:val="-2"/>
              </w:rPr>
              <w:t xml:space="preserve"> support the</w:t>
            </w:r>
            <w:r w:rsidR="005D731E" w:rsidRPr="004F2400">
              <w:rPr>
                <w:color w:val="000000" w:themeColor="text1"/>
                <w:spacing w:val="-2"/>
              </w:rPr>
              <w:t xml:space="preserve"> development, approval</w:t>
            </w:r>
            <w:r w:rsidR="004F2400">
              <w:rPr>
                <w:color w:val="000000" w:themeColor="text1"/>
                <w:spacing w:val="-2"/>
              </w:rPr>
              <w:t>,</w:t>
            </w:r>
            <w:r w:rsidR="005D731E" w:rsidRPr="004F2400">
              <w:rPr>
                <w:color w:val="000000" w:themeColor="text1"/>
                <w:spacing w:val="-2"/>
              </w:rPr>
              <w:t xml:space="preserve"> </w:t>
            </w:r>
            <w:r w:rsidRPr="004F2400">
              <w:rPr>
                <w:color w:val="000000" w:themeColor="text1"/>
                <w:spacing w:val="-2"/>
              </w:rPr>
              <w:t>delivery</w:t>
            </w:r>
            <w:r w:rsidR="004F2400">
              <w:rPr>
                <w:color w:val="000000" w:themeColor="text1"/>
                <w:spacing w:val="-2"/>
              </w:rPr>
              <w:t>, monitoring</w:t>
            </w:r>
            <w:r w:rsidR="005D731E" w:rsidRPr="004F2400">
              <w:rPr>
                <w:color w:val="000000" w:themeColor="text1"/>
                <w:spacing w:val="-2"/>
              </w:rPr>
              <w:t xml:space="preserve"> and review</w:t>
            </w:r>
            <w:r w:rsidRPr="004F2400">
              <w:rPr>
                <w:color w:val="000000" w:themeColor="text1"/>
                <w:spacing w:val="-2"/>
              </w:rPr>
              <w:t xml:space="preserve"> of the </w:t>
            </w:r>
            <w:r w:rsidR="005D731E" w:rsidRPr="004F2400">
              <w:rPr>
                <w:color w:val="000000" w:themeColor="text1"/>
                <w:spacing w:val="-2"/>
              </w:rPr>
              <w:t xml:space="preserve">Greater Manchester </w:t>
            </w:r>
            <w:r w:rsidR="006C6C1B" w:rsidRPr="004F2400">
              <w:rPr>
                <w:color w:val="000000" w:themeColor="text1"/>
                <w:spacing w:val="-2"/>
              </w:rPr>
              <w:t>Spatial Framework</w:t>
            </w:r>
            <w:r w:rsidR="000577C9" w:rsidRPr="004F2400">
              <w:rPr>
                <w:color w:val="000000" w:themeColor="text1"/>
                <w:spacing w:val="-2"/>
              </w:rPr>
              <w:t xml:space="preserve"> </w:t>
            </w:r>
            <w:r w:rsidR="004F2400">
              <w:rPr>
                <w:color w:val="000000" w:themeColor="text1"/>
                <w:spacing w:val="-2"/>
              </w:rPr>
              <w:t>and associated activities,</w:t>
            </w:r>
          </w:p>
          <w:p w:rsidR="00CA310E" w:rsidRPr="004F2400" w:rsidRDefault="00CA310E" w:rsidP="00CA310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/>
              <w:rPr>
                <w:color w:val="000000" w:themeColor="text1"/>
                <w:spacing w:val="-2"/>
              </w:rPr>
            </w:pPr>
          </w:p>
          <w:p w:rsidR="00CA310E" w:rsidRPr="004F2400" w:rsidRDefault="00CA310E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 w:hanging="284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 xml:space="preserve">To draft detailed planning policies where required.  </w:t>
            </w:r>
          </w:p>
          <w:p w:rsidR="000577C9" w:rsidRPr="004F2400" w:rsidRDefault="000577C9" w:rsidP="000577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/>
              <w:rPr>
                <w:color w:val="000000" w:themeColor="text1"/>
                <w:spacing w:val="-2"/>
              </w:rPr>
            </w:pPr>
          </w:p>
          <w:p w:rsidR="002A0C05" w:rsidRPr="004F2400" w:rsidRDefault="00B7107A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 w:hanging="284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 xml:space="preserve">To provide strategic </w:t>
            </w:r>
            <w:r w:rsidR="006C6C1B" w:rsidRPr="004F2400">
              <w:rPr>
                <w:color w:val="000000" w:themeColor="text1"/>
                <w:spacing w:val="-2"/>
              </w:rPr>
              <w:t>planning</w:t>
            </w:r>
            <w:r w:rsidRPr="004F2400">
              <w:rPr>
                <w:color w:val="000000" w:themeColor="text1"/>
                <w:spacing w:val="-2"/>
              </w:rPr>
              <w:t xml:space="preserve"> </w:t>
            </w:r>
            <w:r w:rsidR="002A0C05" w:rsidRPr="004F2400">
              <w:rPr>
                <w:color w:val="000000" w:themeColor="text1"/>
                <w:spacing w:val="-2"/>
              </w:rPr>
              <w:t xml:space="preserve">input, </w:t>
            </w:r>
            <w:r w:rsidRPr="004F2400">
              <w:rPr>
                <w:color w:val="000000" w:themeColor="text1"/>
                <w:spacing w:val="-2"/>
              </w:rPr>
              <w:t>insight</w:t>
            </w:r>
            <w:r w:rsidR="002A0C05" w:rsidRPr="004F2400">
              <w:rPr>
                <w:color w:val="000000" w:themeColor="text1"/>
                <w:spacing w:val="-2"/>
              </w:rPr>
              <w:t xml:space="preserve"> and support</w:t>
            </w:r>
            <w:r w:rsidRPr="004F2400">
              <w:rPr>
                <w:color w:val="000000" w:themeColor="text1"/>
                <w:spacing w:val="-2"/>
              </w:rPr>
              <w:t xml:space="preserve"> to GMCA and other colleagues working on </w:t>
            </w:r>
            <w:r w:rsidR="00D74B35" w:rsidRPr="004F2400">
              <w:rPr>
                <w:color w:val="000000" w:themeColor="text1"/>
                <w:spacing w:val="-2"/>
              </w:rPr>
              <w:t xml:space="preserve">related </w:t>
            </w:r>
            <w:r w:rsidR="000577C9" w:rsidRPr="004F2400">
              <w:rPr>
                <w:color w:val="000000" w:themeColor="text1"/>
                <w:spacing w:val="-2"/>
              </w:rPr>
              <w:t xml:space="preserve">Greater Manchester </w:t>
            </w:r>
            <w:r w:rsidRPr="004F2400">
              <w:rPr>
                <w:color w:val="000000" w:themeColor="text1"/>
                <w:spacing w:val="-2"/>
              </w:rPr>
              <w:t>strategies</w:t>
            </w:r>
            <w:r w:rsidR="00BD4524" w:rsidRPr="004F2400">
              <w:rPr>
                <w:color w:val="000000" w:themeColor="text1"/>
                <w:spacing w:val="-2"/>
              </w:rPr>
              <w:t xml:space="preserve"> (for example Greater Manchester Industrial Strategy, Housing Strategy, 5 year Environment Plan</w:t>
            </w:r>
            <w:r w:rsidR="004F2400">
              <w:rPr>
                <w:color w:val="000000" w:themeColor="text1"/>
                <w:spacing w:val="-2"/>
              </w:rPr>
              <w:t>, Infrastructure Plan</w:t>
            </w:r>
            <w:r w:rsidR="00BD4524" w:rsidRPr="004F2400">
              <w:rPr>
                <w:color w:val="000000" w:themeColor="text1"/>
                <w:spacing w:val="-2"/>
              </w:rPr>
              <w:t xml:space="preserve">) and </w:t>
            </w:r>
            <w:r w:rsidR="002A0C05" w:rsidRPr="004F2400">
              <w:rPr>
                <w:color w:val="000000" w:themeColor="text1"/>
                <w:spacing w:val="-2"/>
              </w:rPr>
              <w:t>projects</w:t>
            </w:r>
            <w:r w:rsidRPr="004F2400">
              <w:rPr>
                <w:color w:val="000000" w:themeColor="text1"/>
                <w:spacing w:val="-2"/>
              </w:rPr>
              <w:t xml:space="preserve"> </w:t>
            </w:r>
            <w:r w:rsidR="002A0C05" w:rsidRPr="004F2400">
              <w:rPr>
                <w:color w:val="000000" w:themeColor="text1"/>
                <w:spacing w:val="-2"/>
              </w:rPr>
              <w:t xml:space="preserve">to support integrated approaches to the </w:t>
            </w:r>
            <w:r w:rsidR="00F1755D" w:rsidRPr="004F2400">
              <w:rPr>
                <w:color w:val="000000" w:themeColor="text1"/>
                <w:spacing w:val="-2"/>
              </w:rPr>
              <w:t xml:space="preserve">implementation, </w:t>
            </w:r>
            <w:r w:rsidR="002A0C05" w:rsidRPr="004F2400">
              <w:rPr>
                <w:color w:val="000000" w:themeColor="text1"/>
                <w:spacing w:val="-2"/>
              </w:rPr>
              <w:t>delivery</w:t>
            </w:r>
            <w:r w:rsidR="00F1755D" w:rsidRPr="004F2400">
              <w:rPr>
                <w:color w:val="000000" w:themeColor="text1"/>
                <w:spacing w:val="-2"/>
              </w:rPr>
              <w:t xml:space="preserve"> and review</w:t>
            </w:r>
            <w:r w:rsidR="002A0C05" w:rsidRPr="004F2400">
              <w:rPr>
                <w:color w:val="000000" w:themeColor="text1"/>
                <w:spacing w:val="-2"/>
              </w:rPr>
              <w:t xml:space="preserve"> of Greater Manchester Strategy objectives. </w:t>
            </w:r>
          </w:p>
          <w:p w:rsidR="00BD4524" w:rsidRPr="004F2400" w:rsidRDefault="00BD4524" w:rsidP="00BD4524">
            <w:pPr>
              <w:pStyle w:val="ListParagraph"/>
              <w:rPr>
                <w:color w:val="000000" w:themeColor="text1"/>
                <w:spacing w:val="-2"/>
              </w:rPr>
            </w:pPr>
          </w:p>
          <w:p w:rsidR="000577C9" w:rsidRPr="004F2400" w:rsidRDefault="000C6A25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36" w:hanging="284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lastRenderedPageBreak/>
              <w:t xml:space="preserve">To </w:t>
            </w:r>
            <w:r w:rsidR="002A0C05" w:rsidRPr="004F2400">
              <w:rPr>
                <w:color w:val="000000" w:themeColor="text1"/>
                <w:spacing w:val="-2"/>
              </w:rPr>
              <w:t xml:space="preserve">provide analysis </w:t>
            </w:r>
            <w:r w:rsidR="000577C9" w:rsidRPr="004F2400">
              <w:rPr>
                <w:color w:val="000000" w:themeColor="text1"/>
                <w:spacing w:val="-2"/>
              </w:rPr>
              <w:t xml:space="preserve">of diverse and complex information </w:t>
            </w:r>
            <w:r w:rsidR="002A0C05" w:rsidRPr="004F2400">
              <w:rPr>
                <w:color w:val="000000" w:themeColor="text1"/>
                <w:spacing w:val="-2"/>
              </w:rPr>
              <w:t xml:space="preserve">to the </w:t>
            </w:r>
            <w:r w:rsidR="000577C9" w:rsidRPr="004F2400">
              <w:rPr>
                <w:color w:val="000000" w:themeColor="text1"/>
                <w:spacing w:val="-2"/>
              </w:rPr>
              <w:t>Head of Planning Strategy</w:t>
            </w:r>
            <w:r w:rsidR="002A0C05" w:rsidRPr="004F2400">
              <w:rPr>
                <w:color w:val="000000" w:themeColor="text1"/>
                <w:spacing w:val="-2"/>
              </w:rPr>
              <w:t xml:space="preserve"> on key </w:t>
            </w:r>
            <w:r w:rsidR="000577C9" w:rsidRPr="004F2400">
              <w:rPr>
                <w:color w:val="000000" w:themeColor="text1"/>
                <w:spacing w:val="-2"/>
              </w:rPr>
              <w:t>issues and policy developments</w:t>
            </w:r>
          </w:p>
          <w:p w:rsidR="000577C9" w:rsidRPr="004F2400" w:rsidRDefault="000577C9" w:rsidP="000577C9">
            <w:pPr>
              <w:pStyle w:val="ListParagraph"/>
              <w:rPr>
                <w:color w:val="000000" w:themeColor="text1"/>
                <w:spacing w:val="-2"/>
              </w:rPr>
            </w:pPr>
          </w:p>
          <w:p w:rsidR="009C4735" w:rsidRPr="004F2400" w:rsidRDefault="000577C9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36" w:hanging="284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 xml:space="preserve">To contribute to </w:t>
            </w:r>
            <w:r w:rsidR="002A0C05" w:rsidRPr="004F2400">
              <w:rPr>
                <w:color w:val="000000" w:themeColor="text1"/>
                <w:spacing w:val="-2"/>
              </w:rPr>
              <w:t xml:space="preserve">the development of responses to Government on </w:t>
            </w:r>
            <w:r w:rsidR="006C6C1B" w:rsidRPr="004F2400">
              <w:rPr>
                <w:color w:val="000000" w:themeColor="text1"/>
                <w:spacing w:val="-2"/>
              </w:rPr>
              <w:t>planning</w:t>
            </w:r>
            <w:r w:rsidR="002A0C05" w:rsidRPr="004F2400">
              <w:rPr>
                <w:color w:val="000000" w:themeColor="text1"/>
                <w:spacing w:val="-2"/>
              </w:rPr>
              <w:t xml:space="preserve"> policy matters</w:t>
            </w:r>
            <w:r w:rsidR="00F92445" w:rsidRPr="004F2400">
              <w:rPr>
                <w:color w:val="000000" w:themeColor="text1"/>
                <w:spacing w:val="-2"/>
              </w:rPr>
              <w:t xml:space="preserve"> on behalf of GMCA and GM districts</w:t>
            </w:r>
            <w:r w:rsidR="002A0C05" w:rsidRPr="004F2400">
              <w:rPr>
                <w:color w:val="000000" w:themeColor="text1"/>
                <w:spacing w:val="-2"/>
              </w:rPr>
              <w:t>, engaging with district and other colleagues as appropriate to ensure a quality response.</w:t>
            </w:r>
          </w:p>
          <w:p w:rsidR="000577C9" w:rsidRPr="004F2400" w:rsidRDefault="000577C9" w:rsidP="000577C9">
            <w:pPr>
              <w:pStyle w:val="ListParagraph"/>
              <w:rPr>
                <w:color w:val="000000" w:themeColor="text1"/>
                <w:spacing w:val="-2"/>
              </w:rPr>
            </w:pPr>
          </w:p>
          <w:p w:rsidR="00BC0144" w:rsidRPr="004F2400" w:rsidRDefault="000577C9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36" w:hanging="336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>Work effectively</w:t>
            </w:r>
            <w:r w:rsidR="00BC0144" w:rsidRPr="004F2400">
              <w:rPr>
                <w:color w:val="000000" w:themeColor="text1"/>
                <w:spacing w:val="-2"/>
              </w:rPr>
              <w:t xml:space="preserve"> with stakeholders and partner organisations</w:t>
            </w:r>
            <w:r w:rsidR="00CA310E" w:rsidRPr="004F2400">
              <w:rPr>
                <w:color w:val="000000" w:themeColor="text1"/>
                <w:spacing w:val="-2"/>
              </w:rPr>
              <w:t>.</w:t>
            </w:r>
          </w:p>
          <w:p w:rsidR="000577C9" w:rsidRPr="004F2400" w:rsidRDefault="000577C9" w:rsidP="00CA310E">
            <w:pPr>
              <w:pStyle w:val="ListParagraph"/>
              <w:ind w:left="336" w:hanging="336"/>
              <w:rPr>
                <w:color w:val="000000" w:themeColor="text1"/>
                <w:spacing w:val="-2"/>
              </w:rPr>
            </w:pPr>
          </w:p>
          <w:p w:rsidR="00CA310E" w:rsidRPr="004F2400" w:rsidRDefault="000577C9" w:rsidP="004F2400">
            <w:pPr>
              <w:pStyle w:val="ListParagraph"/>
              <w:numPr>
                <w:ilvl w:val="0"/>
                <w:numId w:val="2"/>
              </w:numPr>
              <w:ind w:left="336" w:hanging="336"/>
              <w:rPr>
                <w:color w:val="000000" w:themeColor="text1"/>
              </w:rPr>
            </w:pPr>
            <w:r w:rsidRPr="004F2400">
              <w:rPr>
                <w:color w:val="000000" w:themeColor="text1"/>
                <w:spacing w:val="-2"/>
              </w:rPr>
              <w:t xml:space="preserve">To provide information and /or advice and guidance to elected members, senior officers, partners, developers and voluntary and community groups as required. </w:t>
            </w:r>
          </w:p>
          <w:p w:rsidR="00CA310E" w:rsidRPr="004F2400" w:rsidRDefault="00CA310E" w:rsidP="00CA310E">
            <w:pPr>
              <w:pStyle w:val="ListParagraph"/>
              <w:ind w:left="336" w:hanging="336"/>
              <w:rPr>
                <w:color w:val="000000" w:themeColor="text1"/>
                <w:spacing w:val="-2"/>
              </w:rPr>
            </w:pPr>
          </w:p>
          <w:p w:rsidR="00C31FDF" w:rsidRPr="004F2400" w:rsidRDefault="000C7DE0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36" w:hanging="336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>To contribute to the commissioning, procurement and management of consultancy, research and intelligence projects, whether internal or external, to support the delivery of agreed objectives, projects or tasks.</w:t>
            </w:r>
          </w:p>
          <w:p w:rsidR="00C31FDF" w:rsidRPr="004F2400" w:rsidRDefault="00C31FDF" w:rsidP="00BC01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44"/>
              <w:rPr>
                <w:color w:val="000000" w:themeColor="text1"/>
                <w:spacing w:val="-2"/>
              </w:rPr>
            </w:pPr>
          </w:p>
          <w:p w:rsidR="00040EE3" w:rsidRPr="004F2400" w:rsidRDefault="007D1796" w:rsidP="004F240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ind w:left="336" w:hanging="284"/>
              <w:rPr>
                <w:color w:val="000000" w:themeColor="text1"/>
                <w:spacing w:val="-2"/>
              </w:rPr>
            </w:pPr>
            <w:r w:rsidRPr="004F2400">
              <w:rPr>
                <w:color w:val="000000" w:themeColor="text1"/>
                <w:spacing w:val="-2"/>
              </w:rPr>
              <w:t xml:space="preserve"> </w:t>
            </w:r>
            <w:r w:rsidR="00040EE3" w:rsidRPr="004F2400">
              <w:rPr>
                <w:color w:val="000000" w:themeColor="text1"/>
                <w:spacing w:val="-2"/>
              </w:rPr>
              <w:t xml:space="preserve">To contribute to the development, delivery and management of a shared, accessible, comprehensive and updateable research and intelligence </w:t>
            </w:r>
            <w:r w:rsidR="00C31FDF" w:rsidRPr="004F2400">
              <w:rPr>
                <w:color w:val="000000" w:themeColor="text1"/>
                <w:spacing w:val="-2"/>
              </w:rPr>
              <w:t>base</w:t>
            </w:r>
            <w:r w:rsidR="00040EE3" w:rsidRPr="004F2400">
              <w:rPr>
                <w:color w:val="000000" w:themeColor="text1"/>
                <w:spacing w:val="-2"/>
              </w:rPr>
              <w:t xml:space="preserve">, working with </w:t>
            </w:r>
            <w:r w:rsidR="005D731E" w:rsidRPr="004F2400">
              <w:rPr>
                <w:color w:val="000000" w:themeColor="text1"/>
                <w:spacing w:val="-2"/>
              </w:rPr>
              <w:t>the GMCA Research Team</w:t>
            </w:r>
            <w:r w:rsidR="00040EE3" w:rsidRPr="004F2400">
              <w:rPr>
                <w:color w:val="000000" w:themeColor="text1"/>
                <w:spacing w:val="-2"/>
              </w:rPr>
              <w:t>.</w:t>
            </w:r>
          </w:p>
          <w:p w:rsidR="005D731E" w:rsidRPr="004F2400" w:rsidRDefault="005D731E" w:rsidP="00806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:rsidR="00A6609A" w:rsidRPr="004F2400" w:rsidRDefault="00A6609A" w:rsidP="006D4D0A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4F2400" w:rsidTr="00D2038C">
        <w:trPr>
          <w:trHeight w:val="180"/>
          <w:jc w:val="center"/>
        </w:trPr>
        <w:tc>
          <w:tcPr>
            <w:tcW w:w="10356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4F2400" w:rsidRDefault="00A6609A" w:rsidP="00784868">
            <w:pPr>
              <w:pStyle w:val="Body"/>
              <w:ind w:right="261"/>
            </w:pPr>
            <w:r w:rsidRPr="004F2400">
              <w:rPr>
                <w:rFonts w:eastAsia="Calibri"/>
                <w:b/>
                <w:bCs/>
                <w:iCs/>
              </w:rPr>
              <w:br w:type="page"/>
            </w:r>
            <w:r w:rsidR="00AB32F4" w:rsidRPr="004F2400">
              <w:rPr>
                <w:rFonts w:eastAsia="Calibri"/>
                <w:b/>
                <w:bCs/>
                <w:color w:val="FFFFFF"/>
                <w:u w:color="FFFFFF"/>
              </w:rPr>
              <w:t>DIMENSION</w:t>
            </w:r>
            <w:r w:rsidR="00784868" w:rsidRPr="004F2400">
              <w:rPr>
                <w:rFonts w:eastAsia="Calibri"/>
                <w:b/>
                <w:bCs/>
                <w:color w:val="FFFFFF"/>
                <w:u w:color="FFFFFF"/>
              </w:rPr>
              <w:t>S</w:t>
            </w:r>
          </w:p>
        </w:tc>
      </w:tr>
      <w:tr w:rsidR="00A6609A" w:rsidRPr="004F2400" w:rsidTr="0014357C">
        <w:trPr>
          <w:trHeight w:val="1969"/>
          <w:jc w:val="center"/>
        </w:trPr>
        <w:tc>
          <w:tcPr>
            <w:tcW w:w="10356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5F2FCF" w:rsidRPr="004F2400" w:rsidRDefault="005F2FCF" w:rsidP="005F2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 w:hanging="233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n-GB"/>
              </w:rPr>
            </w:pPr>
            <w:r w:rsidRPr="004F2400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n-GB"/>
              </w:rPr>
              <w:t>Work with key partners including:</w:t>
            </w:r>
          </w:p>
          <w:p w:rsidR="005F2FCF" w:rsidRPr="004F2400" w:rsidRDefault="005F2FCF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 w:rsidRPr="004F2400">
              <w:rPr>
                <w:lang w:val="en-GB"/>
              </w:rPr>
              <w:t>GMCA Senior Management Team and policy leads</w:t>
            </w:r>
          </w:p>
          <w:p w:rsidR="005F2FCF" w:rsidRPr="004F2400" w:rsidRDefault="000E2A6D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5F2FCF" w:rsidRPr="004F2400">
              <w:rPr>
                <w:lang w:val="en-GB"/>
              </w:rPr>
              <w:t>Mayor</w:t>
            </w:r>
          </w:p>
          <w:p w:rsidR="000E2A6D" w:rsidRDefault="000E2A6D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>
              <w:rPr>
                <w:lang w:val="en-GB"/>
              </w:rPr>
              <w:t>Transport for Greater Manchester</w:t>
            </w:r>
          </w:p>
          <w:p w:rsidR="005F2FCF" w:rsidRPr="004F2400" w:rsidRDefault="005F2FCF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 w:rsidRPr="004F2400">
              <w:rPr>
                <w:lang w:val="en-GB"/>
              </w:rPr>
              <w:t xml:space="preserve">Greater Manchester’s ten Local Authorities </w:t>
            </w:r>
          </w:p>
          <w:p w:rsidR="005F2FCF" w:rsidRPr="004F2400" w:rsidRDefault="005F2FCF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 w:rsidRPr="004F2400">
              <w:rPr>
                <w:lang w:val="en-GB"/>
              </w:rPr>
              <w:t>The Greater Manchester Local Enterprise Partnership</w:t>
            </w:r>
          </w:p>
          <w:p w:rsidR="000E2A6D" w:rsidRDefault="000E2A6D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>
              <w:rPr>
                <w:lang w:val="en-GB"/>
              </w:rPr>
              <w:t>The Low Carbon Hub (and Natural Capital Group)</w:t>
            </w:r>
          </w:p>
          <w:p w:rsidR="005F2FCF" w:rsidRPr="004F2400" w:rsidRDefault="005F2FCF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  <w:rPr>
                <w:lang w:val="en-GB"/>
              </w:rPr>
            </w:pPr>
            <w:r w:rsidRPr="004F2400">
              <w:rPr>
                <w:lang w:val="en-GB"/>
              </w:rPr>
              <w:t xml:space="preserve">The Association of Greater Manchester Authorities </w:t>
            </w:r>
          </w:p>
          <w:p w:rsidR="00F351D2" w:rsidRPr="004F2400" w:rsidRDefault="00F351D2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</w:pPr>
            <w:r w:rsidRPr="004F2400">
              <w:rPr>
                <w:lang w:val="en-GB"/>
              </w:rPr>
              <w:t>GM</w:t>
            </w:r>
            <w:r w:rsidR="000E2A6D">
              <w:rPr>
                <w:lang w:val="en-GB"/>
              </w:rPr>
              <w:t>CA</w:t>
            </w:r>
            <w:r w:rsidRPr="004F2400">
              <w:rPr>
                <w:lang w:val="en-GB"/>
              </w:rPr>
              <w:t xml:space="preserve"> Portfolio Leader and Chief Executive</w:t>
            </w:r>
            <w:r w:rsidR="00621F68" w:rsidRPr="004F2400">
              <w:rPr>
                <w:lang w:val="en-GB"/>
              </w:rPr>
              <w:t>;</w:t>
            </w:r>
          </w:p>
          <w:p w:rsidR="00B709C8" w:rsidRPr="004F2400" w:rsidRDefault="00B709C8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</w:pPr>
            <w:r w:rsidRPr="004F2400">
              <w:rPr>
                <w:lang w:val="en-GB"/>
              </w:rPr>
              <w:t xml:space="preserve">Housing </w:t>
            </w:r>
            <w:r w:rsidR="00F351D2" w:rsidRPr="004F2400">
              <w:rPr>
                <w:lang w:val="en-GB"/>
              </w:rPr>
              <w:t xml:space="preserve">&amp; </w:t>
            </w:r>
            <w:r w:rsidR="006C6C1B" w:rsidRPr="004F2400">
              <w:rPr>
                <w:lang w:val="en-GB"/>
              </w:rPr>
              <w:t>Planning</w:t>
            </w:r>
            <w:r w:rsidR="00F351D2" w:rsidRPr="004F2400">
              <w:rPr>
                <w:lang w:val="en-GB"/>
              </w:rPr>
              <w:t xml:space="preserve"> Commission and Lead Members</w:t>
            </w:r>
          </w:p>
          <w:p w:rsidR="00F351D2" w:rsidRPr="004F2400" w:rsidRDefault="00B709C8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</w:pPr>
            <w:r w:rsidRPr="004F2400">
              <w:rPr>
                <w:lang w:val="en-GB"/>
              </w:rPr>
              <w:t xml:space="preserve">Planning </w:t>
            </w:r>
            <w:r w:rsidR="003709E9">
              <w:rPr>
                <w:lang w:val="en-GB"/>
              </w:rPr>
              <w:t xml:space="preserve">Officer </w:t>
            </w:r>
            <w:r w:rsidR="00F351D2" w:rsidRPr="004F2400">
              <w:rPr>
                <w:lang w:val="en-GB"/>
              </w:rPr>
              <w:t>Group members</w:t>
            </w:r>
          </w:p>
          <w:p w:rsidR="00806699" w:rsidRPr="004F2400" w:rsidRDefault="00F351D2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</w:pPr>
            <w:r w:rsidRPr="004F2400">
              <w:rPr>
                <w:lang w:val="en-GB"/>
              </w:rPr>
              <w:t>Other key contacts</w:t>
            </w:r>
            <w:r w:rsidR="00806699" w:rsidRPr="004F2400">
              <w:rPr>
                <w:lang w:val="en-GB"/>
              </w:rPr>
              <w:t xml:space="preserve"> from across GM’s public sector and stakeholders/partners</w:t>
            </w:r>
            <w:r w:rsidR="00621F68" w:rsidRPr="004F2400">
              <w:rPr>
                <w:lang w:val="en-GB"/>
              </w:rPr>
              <w:t>; and</w:t>
            </w:r>
          </w:p>
          <w:p w:rsidR="00142834" w:rsidRPr="004F2400" w:rsidRDefault="00806699" w:rsidP="004F240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261"/>
            </w:pPr>
            <w:r w:rsidRPr="004F2400">
              <w:rPr>
                <w:lang w:val="en-GB"/>
              </w:rPr>
              <w:t xml:space="preserve">A wide range of external partners, including Government Departments, Universities and </w:t>
            </w:r>
            <w:r w:rsidR="00F351D2" w:rsidRPr="004F2400">
              <w:rPr>
                <w:lang w:val="en-GB"/>
              </w:rPr>
              <w:t>p</w:t>
            </w:r>
            <w:r w:rsidRPr="004F2400">
              <w:rPr>
                <w:lang w:val="en-GB"/>
              </w:rPr>
              <w:t>rivate</w:t>
            </w:r>
            <w:r w:rsidR="00F351D2" w:rsidRPr="004F2400">
              <w:rPr>
                <w:lang w:val="en-GB"/>
              </w:rPr>
              <w:t>, voluntary and community</w:t>
            </w:r>
            <w:r w:rsidRPr="004F2400">
              <w:rPr>
                <w:lang w:val="en-GB"/>
              </w:rPr>
              <w:t xml:space="preserve"> sector representatives.</w:t>
            </w:r>
          </w:p>
        </w:tc>
      </w:tr>
    </w:tbl>
    <w:p w:rsidR="00A6609A" w:rsidRDefault="00A6609A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307999" w:rsidRPr="004F2400" w:rsidRDefault="00307999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4F2400" w:rsidTr="006D4D0A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4F2400" w:rsidRDefault="00A6609A" w:rsidP="006D4D0A">
            <w:pPr>
              <w:pStyle w:val="Body"/>
              <w:ind w:left="18" w:right="261"/>
            </w:pPr>
            <w:r w:rsidRPr="004F2400">
              <w:rPr>
                <w:rFonts w:eastAsia="Calibri"/>
                <w:b/>
                <w:bCs/>
                <w:color w:val="FFFFFF"/>
                <w:u w:color="FFFFFF"/>
              </w:rPr>
              <w:t>KNOWLEDGE, SKILLS AND EXPERIENCE</w:t>
            </w:r>
          </w:p>
        </w:tc>
      </w:tr>
      <w:tr w:rsidR="00A6609A" w:rsidRPr="004F2400" w:rsidTr="0014357C">
        <w:trPr>
          <w:trHeight w:val="1365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384F1B" w:rsidRPr="004F2400" w:rsidRDefault="00384F1B" w:rsidP="0038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4F1B" w:rsidRPr="004F2400" w:rsidRDefault="00384F1B" w:rsidP="0038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F2400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:rsidR="000D7978" w:rsidRPr="004F2400" w:rsidRDefault="000D7978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>Excellent analytical skills</w:t>
            </w:r>
          </w:p>
          <w:p w:rsidR="000D7978" w:rsidRPr="004F2400" w:rsidRDefault="000D7978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 xml:space="preserve">Demonstrable </w:t>
            </w:r>
            <w:r w:rsidR="00CA310E" w:rsidRPr="004F2400">
              <w:t xml:space="preserve">strategic and </w:t>
            </w:r>
            <w:r w:rsidRPr="004F2400">
              <w:t xml:space="preserve">spatial </w:t>
            </w:r>
            <w:r w:rsidR="00CA310E" w:rsidRPr="004F2400">
              <w:t xml:space="preserve">planning </w:t>
            </w:r>
            <w:r w:rsidRPr="004F2400">
              <w:t>awareness</w:t>
            </w:r>
          </w:p>
          <w:p w:rsidR="000D7978" w:rsidRPr="004F2400" w:rsidRDefault="000D7978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>Good communication skills both verbal and written</w:t>
            </w:r>
          </w:p>
          <w:p w:rsidR="000D7978" w:rsidRPr="004F2400" w:rsidRDefault="000D7978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>Proficiency in IT including use of Word, Excel and GIS</w:t>
            </w:r>
          </w:p>
          <w:p w:rsidR="000D7978" w:rsidRPr="004F2400" w:rsidRDefault="00CA310E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>Ability t</w:t>
            </w:r>
            <w:r w:rsidR="000D7978" w:rsidRPr="004F2400">
              <w:t>o work under pressure and deal with unforeseen and urgent demands</w:t>
            </w:r>
          </w:p>
          <w:p w:rsidR="000D7978" w:rsidRPr="004F2400" w:rsidRDefault="000D7978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>Highly motivated</w:t>
            </w:r>
            <w:r w:rsidR="004F2400" w:rsidRPr="004F2400">
              <w:t xml:space="preserve"> with a positive attitude</w:t>
            </w:r>
            <w:r w:rsidR="00D91A48">
              <w:t xml:space="preserve"> and</w:t>
            </w:r>
            <w:r w:rsidR="004F2400" w:rsidRPr="004F2400">
              <w:t xml:space="preserve"> ability to show </w:t>
            </w:r>
            <w:r w:rsidR="00B5012A">
              <w:t xml:space="preserve">initiative </w:t>
            </w:r>
            <w:r w:rsidR="004F2400" w:rsidRPr="004F2400">
              <w:t xml:space="preserve">to solve problems </w:t>
            </w:r>
          </w:p>
          <w:p w:rsidR="004F2400" w:rsidRPr="004F2400" w:rsidRDefault="004F2400" w:rsidP="004F2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D7978" w:rsidRPr="004F2400" w:rsidRDefault="000D7978" w:rsidP="00D57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7CFB" w:rsidRPr="004F2400" w:rsidRDefault="00D57CFB" w:rsidP="00D57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F2400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 w:rsidR="00C1329E" w:rsidRPr="004F24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24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57CFB" w:rsidRPr="004F2400" w:rsidRDefault="00D57CFB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</w:pPr>
            <w:r w:rsidRPr="004F2400">
              <w:t>Recognised degree in</w:t>
            </w:r>
            <w:r w:rsidR="00C75EEE" w:rsidRPr="004F2400">
              <w:t xml:space="preserve"> </w:t>
            </w:r>
            <w:r w:rsidR="00CA310E" w:rsidRPr="004F2400">
              <w:t xml:space="preserve">town </w:t>
            </w:r>
            <w:r w:rsidR="00C75EEE" w:rsidRPr="004F2400">
              <w:t>planning or</w:t>
            </w:r>
            <w:r w:rsidRPr="004F2400">
              <w:t xml:space="preserve"> relevant subject(s) or equivalent</w:t>
            </w:r>
          </w:p>
          <w:p w:rsidR="00DB438C" w:rsidRPr="00DB438C" w:rsidRDefault="000D7978" w:rsidP="004E2D0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DB438C">
              <w:t xml:space="preserve">At least three years </w:t>
            </w:r>
            <w:r w:rsidR="00DB438C">
              <w:t xml:space="preserve">experience of working in a strategic planning or related policy environment </w:t>
            </w:r>
            <w:r w:rsidR="00CA310E" w:rsidRPr="00DB438C">
              <w:t>within Local Government</w:t>
            </w:r>
          </w:p>
          <w:p w:rsidR="00C1329E" w:rsidRPr="00DB438C" w:rsidRDefault="00CA310E" w:rsidP="00DB438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DB438C">
              <w:t xml:space="preserve"> </w:t>
            </w:r>
          </w:p>
          <w:p w:rsidR="00D57CFB" w:rsidRPr="004F2400" w:rsidRDefault="00C1329E" w:rsidP="00D57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F2400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C1329E" w:rsidRDefault="00C1329E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 xml:space="preserve">Knowledge of national planning policy, legislation and processes </w:t>
            </w:r>
            <w:r w:rsidR="00B85049">
              <w:t>and s</w:t>
            </w:r>
            <w:r w:rsidRPr="004F2400">
              <w:t>ound understanding of planning law</w:t>
            </w:r>
          </w:p>
          <w:p w:rsidR="00B85049" w:rsidRPr="004F2400" w:rsidRDefault="00B85049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>
              <w:t xml:space="preserve">Knowledge </w:t>
            </w:r>
            <w:r w:rsidR="00C9692A">
              <w:t xml:space="preserve">and appreciation of the context that the GMCA Planning and Housing Team operates within as defined by the </w:t>
            </w:r>
            <w:r>
              <w:t xml:space="preserve">of the </w:t>
            </w:r>
            <w:r w:rsidR="00C9692A">
              <w:t xml:space="preserve">2014 </w:t>
            </w:r>
            <w:r w:rsidRPr="004F2400">
              <w:t xml:space="preserve">devolution </w:t>
            </w:r>
            <w:r w:rsidR="00C9692A">
              <w:t>deal and the Mayor</w:t>
            </w:r>
            <w:r w:rsidR="000E2A6D">
              <w:t>’</w:t>
            </w:r>
            <w:r w:rsidR="00C9692A">
              <w:t>s strategic planning powers</w:t>
            </w:r>
          </w:p>
          <w:p w:rsidR="00C1329E" w:rsidRPr="004F2400" w:rsidRDefault="00C1329E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34" w:hanging="283"/>
            </w:pPr>
            <w:r w:rsidRPr="004F2400">
              <w:t xml:space="preserve">Knowledge of current planning issues and general understanding of planning issues affecting Greater Manchester  </w:t>
            </w:r>
          </w:p>
          <w:p w:rsidR="00C1329E" w:rsidRPr="004F2400" w:rsidRDefault="00C1329E" w:rsidP="004F24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</w:pPr>
            <w:r w:rsidRPr="004F2400">
              <w:t xml:space="preserve">Knowledge of key sources of evidence and data relating to planning, housing, environmental, economic and social issues  </w:t>
            </w:r>
          </w:p>
          <w:p w:rsidR="00C1329E" w:rsidRPr="004F2400" w:rsidRDefault="00C1329E" w:rsidP="00C13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7A39" w:rsidRPr="004F2400" w:rsidRDefault="00727A39" w:rsidP="00D75E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7AE7" w:rsidRDefault="00167AE7" w:rsidP="00B34743">
      <w:pPr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en-GB"/>
        </w:rPr>
      </w:pPr>
    </w:p>
    <w:p w:rsidR="00B34743" w:rsidRDefault="00B34743" w:rsidP="00BC0144">
      <w:pPr>
        <w:ind w:left="-709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en-GB"/>
        </w:rPr>
      </w:pPr>
    </w:p>
    <w:sectPr w:rsidR="00B34743" w:rsidSect="00D3105A">
      <w:headerReference w:type="default" r:id="rId11"/>
      <w:footerReference w:type="default" r:id="rId12"/>
      <w:pgSz w:w="11900" w:h="16840"/>
      <w:pgMar w:top="567" w:right="1440" w:bottom="851" w:left="1440" w:header="42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43" w:rsidRDefault="00593043">
      <w:r>
        <w:separator/>
      </w:r>
    </w:p>
  </w:endnote>
  <w:endnote w:type="continuationSeparator" w:id="0">
    <w:p w:rsidR="00593043" w:rsidRDefault="0059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77329"/>
      <w:docPartObj>
        <w:docPartGallery w:val="Page Numbers (Bottom of Page)"/>
        <w:docPartUnique/>
      </w:docPartObj>
    </w:sdtPr>
    <w:sdtEndPr/>
    <w:sdtContent>
      <w:p w:rsidR="00384F1B" w:rsidRDefault="00384F1B" w:rsidP="00F17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F1B" w:rsidRDefault="00384F1B" w:rsidP="00F1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43" w:rsidRDefault="00593043">
      <w:r>
        <w:separator/>
      </w:r>
    </w:p>
  </w:footnote>
  <w:footnote w:type="continuationSeparator" w:id="0">
    <w:p w:rsidR="00593043" w:rsidRDefault="0059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1B" w:rsidRDefault="00384F1B" w:rsidP="00F1755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3227"/>
    <w:multiLevelType w:val="hybridMultilevel"/>
    <w:tmpl w:val="7B88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A50"/>
    <w:multiLevelType w:val="hybridMultilevel"/>
    <w:tmpl w:val="BF74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5EB1"/>
    <w:multiLevelType w:val="hybridMultilevel"/>
    <w:tmpl w:val="E4C2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2868"/>
    <w:multiLevelType w:val="hybridMultilevel"/>
    <w:tmpl w:val="8B1AD628"/>
    <w:lvl w:ilvl="0" w:tplc="6A02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0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C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E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0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63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2B2149"/>
    <w:multiLevelType w:val="hybridMultilevel"/>
    <w:tmpl w:val="51BC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1249A"/>
    <w:multiLevelType w:val="hybridMultilevel"/>
    <w:tmpl w:val="A5E2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7398D"/>
    <w:multiLevelType w:val="hybridMultilevel"/>
    <w:tmpl w:val="139A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A"/>
    <w:rsid w:val="00001043"/>
    <w:rsid w:val="00040EE3"/>
    <w:rsid w:val="0005480C"/>
    <w:rsid w:val="000577C9"/>
    <w:rsid w:val="00084AE6"/>
    <w:rsid w:val="0009523A"/>
    <w:rsid w:val="000A3C97"/>
    <w:rsid w:val="000C6A25"/>
    <w:rsid w:val="000C751E"/>
    <w:rsid w:val="000C7DE0"/>
    <w:rsid w:val="000D7905"/>
    <w:rsid w:val="000D7978"/>
    <w:rsid w:val="000E2A6D"/>
    <w:rsid w:val="00141700"/>
    <w:rsid w:val="00142834"/>
    <w:rsid w:val="0014357C"/>
    <w:rsid w:val="0016694D"/>
    <w:rsid w:val="00167AE7"/>
    <w:rsid w:val="00170EE5"/>
    <w:rsid w:val="00183D7D"/>
    <w:rsid w:val="001A1028"/>
    <w:rsid w:val="001A27B4"/>
    <w:rsid w:val="001B1BD9"/>
    <w:rsid w:val="00200DC9"/>
    <w:rsid w:val="00247F34"/>
    <w:rsid w:val="002677E7"/>
    <w:rsid w:val="00270723"/>
    <w:rsid w:val="002937BB"/>
    <w:rsid w:val="002A0C05"/>
    <w:rsid w:val="002A1240"/>
    <w:rsid w:val="002A3C32"/>
    <w:rsid w:val="002B3921"/>
    <w:rsid w:val="002C146D"/>
    <w:rsid w:val="002D3304"/>
    <w:rsid w:val="002E4463"/>
    <w:rsid w:val="00305614"/>
    <w:rsid w:val="00307999"/>
    <w:rsid w:val="00337468"/>
    <w:rsid w:val="003547BF"/>
    <w:rsid w:val="0036709D"/>
    <w:rsid w:val="003709E9"/>
    <w:rsid w:val="00384D84"/>
    <w:rsid w:val="00384F1B"/>
    <w:rsid w:val="003D48AE"/>
    <w:rsid w:val="003F3411"/>
    <w:rsid w:val="00425E26"/>
    <w:rsid w:val="00435F83"/>
    <w:rsid w:val="00462818"/>
    <w:rsid w:val="00485760"/>
    <w:rsid w:val="004927A6"/>
    <w:rsid w:val="004C3932"/>
    <w:rsid w:val="004D3FA6"/>
    <w:rsid w:val="004D4FAC"/>
    <w:rsid w:val="004E0ED8"/>
    <w:rsid w:val="004F2400"/>
    <w:rsid w:val="005021FF"/>
    <w:rsid w:val="00533CF0"/>
    <w:rsid w:val="00550AAD"/>
    <w:rsid w:val="00555ACA"/>
    <w:rsid w:val="00561D70"/>
    <w:rsid w:val="00593043"/>
    <w:rsid w:val="005A0F29"/>
    <w:rsid w:val="005C3F93"/>
    <w:rsid w:val="005D731E"/>
    <w:rsid w:val="005E1EB8"/>
    <w:rsid w:val="005F2FCF"/>
    <w:rsid w:val="00621F68"/>
    <w:rsid w:val="00627F54"/>
    <w:rsid w:val="006626D8"/>
    <w:rsid w:val="006744A5"/>
    <w:rsid w:val="00692F98"/>
    <w:rsid w:val="00695D4E"/>
    <w:rsid w:val="006A3358"/>
    <w:rsid w:val="006A4E11"/>
    <w:rsid w:val="006C6C1B"/>
    <w:rsid w:val="006D4D0A"/>
    <w:rsid w:val="007034DA"/>
    <w:rsid w:val="0072463B"/>
    <w:rsid w:val="00727A39"/>
    <w:rsid w:val="00774DD4"/>
    <w:rsid w:val="00784868"/>
    <w:rsid w:val="007C6388"/>
    <w:rsid w:val="007D1796"/>
    <w:rsid w:val="00806699"/>
    <w:rsid w:val="00820F8A"/>
    <w:rsid w:val="0085461A"/>
    <w:rsid w:val="008674DC"/>
    <w:rsid w:val="008701A1"/>
    <w:rsid w:val="008B0BDA"/>
    <w:rsid w:val="008D2099"/>
    <w:rsid w:val="008E2DAF"/>
    <w:rsid w:val="008F5548"/>
    <w:rsid w:val="00941574"/>
    <w:rsid w:val="00942DE8"/>
    <w:rsid w:val="00945CAF"/>
    <w:rsid w:val="00971E48"/>
    <w:rsid w:val="00980ADF"/>
    <w:rsid w:val="009A5AA0"/>
    <w:rsid w:val="009A6537"/>
    <w:rsid w:val="009B3992"/>
    <w:rsid w:val="009C0DDC"/>
    <w:rsid w:val="009C4735"/>
    <w:rsid w:val="009E0CD3"/>
    <w:rsid w:val="009E7D11"/>
    <w:rsid w:val="009F390B"/>
    <w:rsid w:val="00A16AB0"/>
    <w:rsid w:val="00A44858"/>
    <w:rsid w:val="00A51D10"/>
    <w:rsid w:val="00A6609A"/>
    <w:rsid w:val="00A66EB8"/>
    <w:rsid w:val="00A72AFD"/>
    <w:rsid w:val="00AB32F4"/>
    <w:rsid w:val="00AD1F49"/>
    <w:rsid w:val="00AE415A"/>
    <w:rsid w:val="00AF6982"/>
    <w:rsid w:val="00AF7352"/>
    <w:rsid w:val="00AF7D1B"/>
    <w:rsid w:val="00B04004"/>
    <w:rsid w:val="00B3289E"/>
    <w:rsid w:val="00B34743"/>
    <w:rsid w:val="00B5012A"/>
    <w:rsid w:val="00B54261"/>
    <w:rsid w:val="00B64FDB"/>
    <w:rsid w:val="00B70125"/>
    <w:rsid w:val="00B709C8"/>
    <w:rsid w:val="00B7107A"/>
    <w:rsid w:val="00B71E26"/>
    <w:rsid w:val="00B85049"/>
    <w:rsid w:val="00B91004"/>
    <w:rsid w:val="00BC0144"/>
    <w:rsid w:val="00BD4524"/>
    <w:rsid w:val="00BE34B1"/>
    <w:rsid w:val="00BF3B3D"/>
    <w:rsid w:val="00C1329E"/>
    <w:rsid w:val="00C31FDF"/>
    <w:rsid w:val="00C34364"/>
    <w:rsid w:val="00C75EEE"/>
    <w:rsid w:val="00C9692A"/>
    <w:rsid w:val="00CA15AB"/>
    <w:rsid w:val="00CA310E"/>
    <w:rsid w:val="00D11DA5"/>
    <w:rsid w:val="00D2038C"/>
    <w:rsid w:val="00D3105A"/>
    <w:rsid w:val="00D57CFB"/>
    <w:rsid w:val="00D74B35"/>
    <w:rsid w:val="00D75362"/>
    <w:rsid w:val="00D75E20"/>
    <w:rsid w:val="00D91A48"/>
    <w:rsid w:val="00DB438C"/>
    <w:rsid w:val="00DE53EA"/>
    <w:rsid w:val="00E1046E"/>
    <w:rsid w:val="00E5433E"/>
    <w:rsid w:val="00E751E0"/>
    <w:rsid w:val="00E9438C"/>
    <w:rsid w:val="00E9790D"/>
    <w:rsid w:val="00EA4DE2"/>
    <w:rsid w:val="00EB18F7"/>
    <w:rsid w:val="00ED70E5"/>
    <w:rsid w:val="00F02610"/>
    <w:rsid w:val="00F026BE"/>
    <w:rsid w:val="00F04A19"/>
    <w:rsid w:val="00F07D90"/>
    <w:rsid w:val="00F1755D"/>
    <w:rsid w:val="00F351D2"/>
    <w:rsid w:val="00F77DB9"/>
    <w:rsid w:val="00F84436"/>
    <w:rsid w:val="00F92445"/>
    <w:rsid w:val="00F94BD8"/>
    <w:rsid w:val="00FE447E"/>
    <w:rsid w:val="00FF5D4B"/>
    <w:rsid w:val="00FF5F5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D24F"/>
  <w15:docId w15:val="{3D396C59-7956-4910-AE9E-65DDD92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5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Subtitle">
    <w:name w:val="Subtitle"/>
    <w:basedOn w:val="Normal"/>
    <w:link w:val="SubtitleChar"/>
    <w:qFormat/>
    <w:rsid w:val="000D7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sz w:val="32"/>
      <w:szCs w:val="20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rsid w:val="000D7905"/>
    <w:rPr>
      <w:rFonts w:ascii="Arial" w:eastAsia="Times New Roman" w:hAnsi="Arial" w:cs="Arial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rsid w:val="005D73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A15AB"/>
  </w:style>
  <w:style w:type="character" w:customStyle="1" w:styleId="Heading4Char">
    <w:name w:val="Heading 4 Char"/>
    <w:basedOn w:val="DefaultParagraphFont"/>
    <w:link w:val="Heading4"/>
    <w:uiPriority w:val="9"/>
    <w:semiHidden/>
    <w:rsid w:val="00CA15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A15AB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A15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2d5f03b8-567e-422e-9659-d7f275e19b87">
      <UserInfo>
        <DisplayName>HR Advice</DisplayName>
        <AccountId>812</AccountId>
        <AccountType/>
      </UserInfo>
    </Owner>
    <Review_x0020_Date xmlns="2d5f03b8-567e-422e-9659-d7f275e19b87">2016-04-28T23:00:00+00:00</Review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D412EB0D8246B342A91F5378EFE9" ma:contentTypeVersion="10" ma:contentTypeDescription="Create a new document." ma:contentTypeScope="" ma:versionID="f0c52f87cbc0b20ad883eb9eeac0a861">
  <xsd:schema xmlns:xsd="http://www.w3.org/2001/XMLSchema" xmlns:p="http://schemas.microsoft.com/office/2006/metadata/properties" xmlns:ns2="2d5f03b8-567e-422e-9659-d7f275e19b87" targetNamespace="http://schemas.microsoft.com/office/2006/metadata/properties" ma:root="true" ma:fieldsID="030005c629800ac183f2be5c4bb7dcb0" ns2:_="">
    <xsd:import namespace="2d5f03b8-567e-422e-9659-d7f275e19b87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5f03b8-567e-422e-9659-d7f275e19b87" elementFormDefault="qualified">
    <xsd:import namespace="http://schemas.microsoft.com/office/2006/documentManagement/types"/>
    <xsd:element name="Owner" ma:index="8" ma:displayName="Owner" ma:description="The owner of this document" ma:list="UserInfo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ma:displayName="Review Date" ma:description="The date this information should be reviewed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A093-3B41-409B-8DAF-96E6EF57B33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d5f03b8-567e-422e-9659-d7f275e19b8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A0F001-7911-41F6-A359-090FDAF9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03b8-567e-422e-9659-d7f275e19b8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B5A961-EFC0-4290-8CF2-5FD01A099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B5745-4C76-4093-9516-F7C9935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Nicola (New Economy)</dc:creator>
  <cp:lastModifiedBy>Whitehead, Leigh</cp:lastModifiedBy>
  <cp:revision>2</cp:revision>
  <cp:lastPrinted>2015-04-15T08:45:00Z</cp:lastPrinted>
  <dcterms:created xsi:type="dcterms:W3CDTF">2019-06-20T13:53:00Z</dcterms:created>
  <dcterms:modified xsi:type="dcterms:W3CDTF">2019-06-20T13:53:00Z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0x010100F6E6D412EB0D8246B342A91F5378EFE9</vt:lpwstr>
  </property>
</Properties>
</file>