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
        <w:gridCol w:w="1599"/>
        <w:gridCol w:w="3441"/>
        <w:gridCol w:w="1675"/>
        <w:gridCol w:w="649"/>
        <w:gridCol w:w="426"/>
        <w:gridCol w:w="1439"/>
        <w:gridCol w:w="384"/>
        <w:gridCol w:w="252"/>
        <w:gridCol w:w="1851"/>
        <w:gridCol w:w="30"/>
        <w:gridCol w:w="1952"/>
        <w:gridCol w:w="2032"/>
        <w:gridCol w:w="73"/>
      </w:tblGrid>
      <w:tr w:rsidR="005D4257" w:rsidRPr="004026D7" w:rsidTr="00265D73">
        <w:tc>
          <w:tcPr>
            <w:tcW w:w="15921" w:type="dxa"/>
            <w:gridSpan w:val="14"/>
            <w:shd w:val="clear" w:color="auto" w:fill="E6007E"/>
          </w:tcPr>
          <w:p w:rsidR="005D4257" w:rsidRPr="004026D7" w:rsidRDefault="0071404D" w:rsidP="00C15F20">
            <w:pPr>
              <w:jc w:val="center"/>
              <w:rPr>
                <w:sz w:val="24"/>
                <w:szCs w:val="24"/>
              </w:rPr>
            </w:pPr>
            <w:bookmarkStart w:id="0" w:name="_GoBack"/>
            <w:bookmarkEnd w:id="0"/>
            <w:r>
              <w:rPr>
                <w:b/>
                <w:color w:val="FFFFFF" w:themeColor="background1"/>
                <w:sz w:val="24"/>
                <w:szCs w:val="24"/>
              </w:rPr>
              <w:t>Salford Safeguarding Adults Board Business Manager</w:t>
            </w:r>
          </w:p>
        </w:tc>
      </w:tr>
      <w:tr w:rsidR="00AC6D60" w:rsidTr="00265D73">
        <w:tc>
          <w:tcPr>
            <w:tcW w:w="15921" w:type="dxa"/>
            <w:gridSpan w:val="14"/>
          </w:tcPr>
          <w:p w:rsidR="00AC6D60" w:rsidRDefault="00AC6D60"/>
        </w:tc>
      </w:tr>
      <w:tr w:rsidR="008E36F7" w:rsidRPr="00F06ED0" w:rsidTr="00265D73">
        <w:tc>
          <w:tcPr>
            <w:tcW w:w="1717" w:type="dxa"/>
            <w:gridSpan w:val="2"/>
          </w:tcPr>
          <w:p w:rsidR="008E36F7" w:rsidRPr="00F06ED0" w:rsidRDefault="00D41FCC" w:rsidP="00F06ED0">
            <w:pPr>
              <w:rPr>
                <w:b/>
              </w:rPr>
            </w:pPr>
            <w:r w:rsidRPr="00F06ED0">
              <w:rPr>
                <w:b/>
              </w:rPr>
              <w:t>Service:</w:t>
            </w:r>
            <w:r w:rsidR="00F06ED0" w:rsidRPr="00F06ED0">
              <w:rPr>
                <w:b/>
              </w:rPr>
              <w:t xml:space="preserve"> </w:t>
            </w:r>
          </w:p>
        </w:tc>
        <w:tc>
          <w:tcPr>
            <w:tcW w:w="3441" w:type="dxa"/>
          </w:tcPr>
          <w:p w:rsidR="008E36F7" w:rsidRPr="00C86DD9" w:rsidRDefault="00F06ED0">
            <w:r w:rsidRPr="00C86DD9">
              <w:t>People</w:t>
            </w:r>
            <w:r w:rsidR="0071404D">
              <w:t xml:space="preserve"> Directorate</w:t>
            </w:r>
          </w:p>
        </w:tc>
        <w:tc>
          <w:tcPr>
            <w:tcW w:w="1675" w:type="dxa"/>
          </w:tcPr>
          <w:p w:rsidR="008E36F7" w:rsidRPr="00F06ED0" w:rsidRDefault="008E36F7">
            <w:pPr>
              <w:rPr>
                <w:b/>
              </w:rPr>
            </w:pPr>
            <w:r w:rsidRPr="00F06ED0">
              <w:rPr>
                <w:b/>
              </w:rPr>
              <w:t>Grade:</w:t>
            </w:r>
          </w:p>
        </w:tc>
        <w:tc>
          <w:tcPr>
            <w:tcW w:w="3150" w:type="dxa"/>
            <w:gridSpan w:val="5"/>
          </w:tcPr>
          <w:p w:rsidR="00F06ED0" w:rsidRPr="00C86DD9" w:rsidRDefault="0071404D" w:rsidP="00F06ED0">
            <w:pPr>
              <w:jc w:val="both"/>
              <w:rPr>
                <w:rFonts w:cs="Arial"/>
              </w:rPr>
            </w:pPr>
            <w:r>
              <w:rPr>
                <w:rFonts w:cs="Arial"/>
              </w:rPr>
              <w:t>5B</w:t>
            </w:r>
          </w:p>
          <w:p w:rsidR="008E36F7" w:rsidRPr="00F06ED0" w:rsidRDefault="008E36F7" w:rsidP="00C105F6">
            <w:pPr>
              <w:rPr>
                <w:b/>
              </w:rPr>
            </w:pPr>
          </w:p>
        </w:tc>
        <w:tc>
          <w:tcPr>
            <w:tcW w:w="1851" w:type="dxa"/>
          </w:tcPr>
          <w:p w:rsidR="008E36F7" w:rsidRPr="00F06ED0" w:rsidRDefault="008E36F7">
            <w:pPr>
              <w:rPr>
                <w:b/>
              </w:rPr>
            </w:pPr>
            <w:r w:rsidRPr="00F06ED0">
              <w:rPr>
                <w:b/>
              </w:rPr>
              <w:t>Salary:</w:t>
            </w:r>
          </w:p>
        </w:tc>
        <w:tc>
          <w:tcPr>
            <w:tcW w:w="4087" w:type="dxa"/>
            <w:gridSpan w:val="4"/>
          </w:tcPr>
          <w:p w:rsidR="008E36F7" w:rsidRPr="006B34F7" w:rsidRDefault="006B34F7" w:rsidP="0071404D">
            <w:r w:rsidRPr="006B34F7">
              <w:t>£4</w:t>
            </w:r>
            <w:r w:rsidR="0071404D">
              <w:t>4,632 - £46, 490</w:t>
            </w:r>
          </w:p>
        </w:tc>
      </w:tr>
      <w:tr w:rsidR="008E36F7" w:rsidTr="00265D73">
        <w:tc>
          <w:tcPr>
            <w:tcW w:w="1717" w:type="dxa"/>
            <w:gridSpan w:val="2"/>
          </w:tcPr>
          <w:p w:rsidR="008E36F7" w:rsidRPr="00C53A4C" w:rsidRDefault="008E36F7" w:rsidP="00F06ED0">
            <w:pPr>
              <w:rPr>
                <w:b/>
              </w:rPr>
            </w:pPr>
            <w:r w:rsidRPr="00C53A4C">
              <w:rPr>
                <w:b/>
              </w:rPr>
              <w:t>Reporting to:</w:t>
            </w:r>
            <w:r w:rsidR="00F06ED0">
              <w:rPr>
                <w:b/>
              </w:rPr>
              <w:t xml:space="preserve"> </w:t>
            </w:r>
          </w:p>
        </w:tc>
        <w:tc>
          <w:tcPr>
            <w:tcW w:w="3441" w:type="dxa"/>
          </w:tcPr>
          <w:p w:rsidR="008E36F7" w:rsidRPr="00C86DD9" w:rsidRDefault="0071404D" w:rsidP="0071404D">
            <w:r>
              <w:t xml:space="preserve">Assistant Director </w:t>
            </w:r>
            <w:r w:rsidR="00F06ED0" w:rsidRPr="00C86DD9">
              <w:t>Integrated Commissioning</w:t>
            </w:r>
          </w:p>
        </w:tc>
        <w:tc>
          <w:tcPr>
            <w:tcW w:w="1675" w:type="dxa"/>
          </w:tcPr>
          <w:p w:rsidR="008E36F7" w:rsidRPr="00C53A4C" w:rsidRDefault="008E36F7">
            <w:pPr>
              <w:rPr>
                <w:b/>
              </w:rPr>
            </w:pPr>
            <w:r w:rsidRPr="00C53A4C">
              <w:rPr>
                <w:b/>
              </w:rPr>
              <w:t>Location:</w:t>
            </w:r>
          </w:p>
        </w:tc>
        <w:tc>
          <w:tcPr>
            <w:tcW w:w="3150" w:type="dxa"/>
            <w:gridSpan w:val="5"/>
          </w:tcPr>
          <w:p w:rsidR="008E36F7" w:rsidRPr="00C86DD9" w:rsidRDefault="0071404D" w:rsidP="0071404D">
            <w:r>
              <w:rPr>
                <w:rFonts w:ascii="Calibri" w:hAnsi="Calibri" w:cs="Calibri"/>
              </w:rPr>
              <w:t>St James’ House</w:t>
            </w:r>
          </w:p>
        </w:tc>
        <w:tc>
          <w:tcPr>
            <w:tcW w:w="1851" w:type="dxa"/>
          </w:tcPr>
          <w:p w:rsidR="008E36F7" w:rsidRPr="00C53A4C" w:rsidRDefault="008E36F7">
            <w:pPr>
              <w:rPr>
                <w:b/>
              </w:rPr>
            </w:pPr>
            <w:r w:rsidRPr="00C53A4C">
              <w:rPr>
                <w:b/>
              </w:rPr>
              <w:t>Hours:</w:t>
            </w:r>
          </w:p>
        </w:tc>
        <w:tc>
          <w:tcPr>
            <w:tcW w:w="4087" w:type="dxa"/>
            <w:gridSpan w:val="4"/>
          </w:tcPr>
          <w:p w:rsidR="008E36F7" w:rsidRDefault="00F14B3B">
            <w:r>
              <w:t>36 hours per week</w:t>
            </w:r>
          </w:p>
        </w:tc>
      </w:tr>
      <w:tr w:rsidR="003D0ED7" w:rsidTr="00265D73">
        <w:tc>
          <w:tcPr>
            <w:tcW w:w="15921" w:type="dxa"/>
            <w:gridSpan w:val="14"/>
          </w:tcPr>
          <w:p w:rsidR="003D0ED7" w:rsidRDefault="003D0ED7"/>
        </w:tc>
      </w:tr>
      <w:tr w:rsidR="00BA6900" w:rsidTr="00265D7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9347" w:type="dxa"/>
            <w:gridSpan w:val="7"/>
            <w:tcBorders>
              <w:bottom w:val="single" w:sz="4" w:space="0" w:color="FFFFFF" w:themeColor="background1"/>
            </w:tcBorders>
            <w:shd w:val="clear" w:color="auto" w:fill="E6007E"/>
          </w:tcPr>
          <w:p w:rsidR="00BA6900" w:rsidRPr="00BA6900" w:rsidRDefault="00BA6900" w:rsidP="00857101">
            <w:pPr>
              <w:rPr>
                <w:b/>
                <w:color w:val="FFFFFF" w:themeColor="background1"/>
              </w:rPr>
            </w:pPr>
            <w:r>
              <w:br w:type="page"/>
            </w:r>
            <w:r w:rsidR="00857101">
              <w:rPr>
                <w:b/>
                <w:color w:val="FFFFFF" w:themeColor="background1"/>
              </w:rPr>
              <w:t>About the role</w:t>
            </w:r>
            <w:r w:rsidRPr="00BA6900">
              <w:rPr>
                <w:b/>
                <w:color w:val="FFFFFF" w:themeColor="background1"/>
              </w:rPr>
              <w:t xml:space="preserve">  </w:t>
            </w:r>
          </w:p>
        </w:tc>
        <w:tc>
          <w:tcPr>
            <w:tcW w:w="384" w:type="dxa"/>
            <w:tcBorders>
              <w:bottom w:val="single" w:sz="4" w:space="0" w:color="FFFFFF" w:themeColor="background1"/>
            </w:tcBorders>
            <w:shd w:val="clear" w:color="auto" w:fill="FFFFFF" w:themeFill="background1"/>
          </w:tcPr>
          <w:p w:rsidR="00BA6900" w:rsidRDefault="00BA6900" w:rsidP="00BA6900"/>
        </w:tc>
        <w:tc>
          <w:tcPr>
            <w:tcW w:w="6190" w:type="dxa"/>
            <w:gridSpan w:val="6"/>
            <w:tcBorders>
              <w:bottom w:val="single" w:sz="4" w:space="0" w:color="FFFFFF" w:themeColor="background1"/>
            </w:tcBorders>
            <w:shd w:val="clear" w:color="auto" w:fill="E6007E"/>
          </w:tcPr>
          <w:p w:rsidR="00BA6900" w:rsidRPr="00C53A4C" w:rsidRDefault="00857101" w:rsidP="008973EE">
            <w:pPr>
              <w:rPr>
                <w:b/>
                <w:color w:val="FFFFFF" w:themeColor="background1"/>
              </w:rPr>
            </w:pPr>
            <w:r>
              <w:rPr>
                <w:b/>
                <w:color w:val="FFFFFF" w:themeColor="background1"/>
              </w:rPr>
              <w:t xml:space="preserve">Our priorities </w:t>
            </w:r>
          </w:p>
        </w:tc>
      </w:tr>
      <w:tr w:rsidR="000941A7" w:rsidTr="00265D7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9"/>
        </w:trPr>
        <w:tc>
          <w:tcPr>
            <w:tcW w:w="9347" w:type="dxa"/>
            <w:gridSpan w:val="7"/>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41E74" w:rsidRDefault="00F14B3B" w:rsidP="00D41E74">
            <w:pPr>
              <w:autoSpaceDE w:val="0"/>
              <w:autoSpaceDN w:val="0"/>
              <w:adjustRightInd w:val="0"/>
              <w:rPr>
                <w:rFonts w:ascii="Calibri" w:hAnsi="Calibri" w:cs="Calibri"/>
                <w:color w:val="000000"/>
              </w:rPr>
            </w:pPr>
            <w:r w:rsidRPr="00F14B3B">
              <w:t xml:space="preserve"> </w:t>
            </w:r>
          </w:p>
          <w:sdt>
            <w:sdtPr>
              <w:rPr>
                <w:rFonts w:ascii="Arial" w:eastAsiaTheme="minorHAnsi" w:hAnsi="Arial" w:cstheme="minorBidi"/>
              </w:rPr>
              <w:id w:val="4512589"/>
              <w:placeholder>
                <w:docPart w:val="9FC4C8ACE341481BA9F5E7569911D14A"/>
              </w:placeholder>
            </w:sdtPr>
            <w:sdtEndPr/>
            <w:sdtContent>
              <w:p w:rsidR="0071404D" w:rsidRPr="00754C7E" w:rsidRDefault="0071404D" w:rsidP="0071404D">
                <w:pPr>
                  <w:pStyle w:val="ListParagraph"/>
                  <w:numPr>
                    <w:ilvl w:val="0"/>
                    <w:numId w:val="15"/>
                  </w:numPr>
                  <w:jc w:val="both"/>
                  <w:rPr>
                    <w:rFonts w:asciiTheme="minorHAnsi" w:eastAsia="Times New Roman" w:hAnsiTheme="minorHAnsi" w:cstheme="minorHAnsi"/>
                  </w:rPr>
                </w:pPr>
                <w:r w:rsidRPr="00754C7E">
                  <w:rPr>
                    <w:rFonts w:asciiTheme="minorHAnsi" w:eastAsia="Times New Roman" w:hAnsiTheme="minorHAnsi" w:cstheme="minorHAnsi"/>
                    <w:color w:val="1D1D1B"/>
                  </w:rPr>
                  <w:t>Lead on the development of Salford Safeguarding Adults Board (SSAB), ensuring duties and responsibilities are effectively discharged in accordance with government guidance and legislation</w:t>
                </w:r>
              </w:p>
              <w:p w:rsidR="0071404D" w:rsidRPr="003609AD" w:rsidRDefault="0071404D" w:rsidP="0071404D">
                <w:pPr>
                  <w:numPr>
                    <w:ilvl w:val="0"/>
                    <w:numId w:val="15"/>
                  </w:numPr>
                  <w:spacing w:before="60"/>
                  <w:contextualSpacing/>
                  <w:jc w:val="both"/>
                  <w:rPr>
                    <w:rFonts w:eastAsia="Times New Roman" w:cstheme="minorHAnsi"/>
                  </w:rPr>
                </w:pPr>
                <w:r w:rsidRPr="003609AD">
                  <w:rPr>
                    <w:rFonts w:eastAsia="Times New Roman" w:cstheme="minorHAnsi"/>
                  </w:rPr>
                  <w:t>Responsible for the delivery of the statutory requirements of the SSAB (Strategy &amp; action plan, annual report and SAR process).</w:t>
                </w:r>
              </w:p>
              <w:p w:rsidR="0071404D" w:rsidRPr="003609AD" w:rsidRDefault="0071404D" w:rsidP="0071404D">
                <w:pPr>
                  <w:numPr>
                    <w:ilvl w:val="0"/>
                    <w:numId w:val="16"/>
                  </w:numPr>
                  <w:autoSpaceDE w:val="0"/>
                  <w:autoSpaceDN w:val="0"/>
                  <w:adjustRightInd w:val="0"/>
                  <w:spacing w:before="60"/>
                  <w:contextualSpacing/>
                  <w:jc w:val="both"/>
                  <w:rPr>
                    <w:rFonts w:eastAsia="Times New Roman" w:cstheme="minorHAnsi"/>
                    <w:color w:val="1D1D1B"/>
                  </w:rPr>
                </w:pPr>
                <w:r w:rsidRPr="003609AD">
                  <w:rPr>
                    <w:rFonts w:eastAsia="Times New Roman" w:cstheme="minorHAnsi"/>
                    <w:color w:val="1D1D1B"/>
                  </w:rPr>
                  <w:t>Ensure effective structures and processes are in place to facilitate and performance manage partnership working in relation to safeguarding adults at risk across the statutory, independent and third sectors.</w:t>
                </w:r>
              </w:p>
              <w:p w:rsidR="0071404D" w:rsidRPr="003609AD" w:rsidRDefault="0071404D" w:rsidP="0071404D">
                <w:pPr>
                  <w:numPr>
                    <w:ilvl w:val="0"/>
                    <w:numId w:val="16"/>
                  </w:numPr>
                  <w:spacing w:before="60" w:after="60"/>
                  <w:ind w:right="543"/>
                  <w:contextualSpacing/>
                  <w:jc w:val="both"/>
                  <w:rPr>
                    <w:rFonts w:eastAsia="Times New Roman" w:cstheme="minorHAnsi"/>
                  </w:rPr>
                </w:pPr>
                <w:r w:rsidRPr="003609AD">
                  <w:rPr>
                    <w:rFonts w:eastAsia="Times New Roman" w:cstheme="minorHAnsi"/>
                  </w:rPr>
                  <w:t>Promote, develop and support high quality safeguarding practice and performance in SSAB partner organisations, which is based on legislation, knowledge, research and the effective contribution of all participants, and which leads to positive outcomes for adults with care and support needs.</w:t>
                </w:r>
              </w:p>
              <w:p w:rsidR="0071404D" w:rsidRPr="003609AD" w:rsidRDefault="0071404D" w:rsidP="0071404D">
                <w:pPr>
                  <w:numPr>
                    <w:ilvl w:val="0"/>
                    <w:numId w:val="15"/>
                  </w:numPr>
                  <w:autoSpaceDE w:val="0"/>
                  <w:autoSpaceDN w:val="0"/>
                  <w:adjustRightInd w:val="0"/>
                  <w:spacing w:before="60"/>
                  <w:contextualSpacing/>
                  <w:jc w:val="both"/>
                  <w:rPr>
                    <w:rFonts w:eastAsia="Times New Roman" w:cstheme="minorHAnsi"/>
                  </w:rPr>
                </w:pPr>
                <w:r w:rsidRPr="003609AD">
                  <w:rPr>
                    <w:rFonts w:eastAsia="Times New Roman" w:cstheme="minorHAnsi"/>
                  </w:rPr>
                  <w:t>Advise SSAB members &amp; elected members on high level policy issues and making recommendations for decision-making relating to the SSABs budget, duties, priorities, and future direction</w:t>
                </w:r>
              </w:p>
              <w:p w:rsidR="0071404D" w:rsidRPr="003609AD" w:rsidRDefault="0071404D" w:rsidP="0071404D">
                <w:pPr>
                  <w:numPr>
                    <w:ilvl w:val="0"/>
                    <w:numId w:val="15"/>
                  </w:numPr>
                  <w:autoSpaceDE w:val="0"/>
                  <w:autoSpaceDN w:val="0"/>
                  <w:adjustRightInd w:val="0"/>
                  <w:spacing w:before="60"/>
                  <w:contextualSpacing/>
                  <w:jc w:val="both"/>
                  <w:rPr>
                    <w:rFonts w:eastAsia="Times New Roman" w:cstheme="minorHAnsi"/>
                    <w:color w:val="1D1D1B"/>
                  </w:rPr>
                </w:pPr>
                <w:r w:rsidRPr="003609AD">
                  <w:rPr>
                    <w:rFonts w:eastAsia="Times New Roman" w:cstheme="minorHAnsi"/>
                    <w:color w:val="1D1D1B"/>
                  </w:rPr>
                  <w:t>Develop the sub structure of the board and provide leadership, management and supervision to the Safeguarding Adults Boards’ Team</w:t>
                </w:r>
              </w:p>
              <w:p w:rsidR="0071404D" w:rsidRPr="003609AD" w:rsidRDefault="0071404D" w:rsidP="0071404D">
                <w:pPr>
                  <w:numPr>
                    <w:ilvl w:val="0"/>
                    <w:numId w:val="15"/>
                  </w:numPr>
                  <w:autoSpaceDE w:val="0"/>
                  <w:autoSpaceDN w:val="0"/>
                  <w:adjustRightInd w:val="0"/>
                  <w:spacing w:before="60"/>
                  <w:contextualSpacing/>
                  <w:jc w:val="both"/>
                  <w:rPr>
                    <w:rFonts w:eastAsia="Times New Roman" w:cstheme="minorHAnsi"/>
                  </w:rPr>
                </w:pPr>
                <w:r w:rsidRPr="003609AD">
                  <w:rPr>
                    <w:rFonts w:eastAsia="Times New Roman" w:cstheme="minorHAnsi"/>
                  </w:rPr>
                  <w:t xml:space="preserve">Lead on the implementation &amp; revision of multi-agency safeguarding policy and practice in Salford to ensure that multi-agency practice is effective in all areas of safeguarding  </w:t>
                </w:r>
              </w:p>
              <w:p w:rsidR="0071404D" w:rsidRPr="003609AD" w:rsidRDefault="0071404D" w:rsidP="0071404D">
                <w:pPr>
                  <w:numPr>
                    <w:ilvl w:val="0"/>
                    <w:numId w:val="15"/>
                  </w:numPr>
                  <w:autoSpaceDE w:val="0"/>
                  <w:autoSpaceDN w:val="0"/>
                  <w:adjustRightInd w:val="0"/>
                  <w:spacing w:before="60"/>
                  <w:ind w:right="543"/>
                  <w:contextualSpacing/>
                  <w:jc w:val="both"/>
                  <w:rPr>
                    <w:rFonts w:eastAsia="Times New Roman" w:cstheme="minorHAnsi"/>
                    <w:color w:val="1D1D1B"/>
                  </w:rPr>
                </w:pPr>
                <w:r w:rsidRPr="003609AD">
                  <w:rPr>
                    <w:rFonts w:eastAsia="Times New Roman" w:cstheme="minorHAnsi"/>
                    <w:color w:val="1D1D1B"/>
                  </w:rPr>
                  <w:t>Provide guidance to partner agencies on safeguarding responsibilities, including policy, procedure &amp; training.</w:t>
                </w:r>
              </w:p>
              <w:p w:rsidR="0071404D" w:rsidRPr="003609AD" w:rsidRDefault="0071404D" w:rsidP="0022023D">
                <w:pPr>
                  <w:numPr>
                    <w:ilvl w:val="0"/>
                    <w:numId w:val="15"/>
                  </w:numPr>
                  <w:tabs>
                    <w:tab w:val="num" w:pos="1418"/>
                  </w:tabs>
                  <w:spacing w:before="60"/>
                  <w:contextualSpacing/>
                  <w:jc w:val="both"/>
                  <w:rPr>
                    <w:rFonts w:eastAsia="Times New Roman" w:cstheme="minorHAnsi"/>
                  </w:rPr>
                </w:pPr>
                <w:r w:rsidRPr="003609AD">
                  <w:rPr>
                    <w:rFonts w:eastAsia="Times New Roman" w:cstheme="minorHAnsi"/>
                  </w:rPr>
                  <w:t>To develop the public profile of the Board, utilising all appropriate media and other resources,</w:t>
                </w:r>
                <w:r w:rsidR="00754C7E" w:rsidRPr="00754C7E">
                  <w:rPr>
                    <w:rFonts w:eastAsia="Times New Roman" w:cstheme="minorHAnsi"/>
                  </w:rPr>
                  <w:t xml:space="preserve"> </w:t>
                </w:r>
                <w:r w:rsidRPr="003609AD">
                  <w:rPr>
                    <w:rFonts w:eastAsia="Times New Roman" w:cstheme="minorHAnsi"/>
                  </w:rPr>
                  <w:t>produce regular bulletins and manage the web site.</w:t>
                </w:r>
              </w:p>
              <w:p w:rsidR="0071404D" w:rsidRPr="003609AD" w:rsidRDefault="0071404D" w:rsidP="0071404D">
                <w:pPr>
                  <w:keepNext/>
                  <w:numPr>
                    <w:ilvl w:val="0"/>
                    <w:numId w:val="15"/>
                  </w:numPr>
                  <w:spacing w:before="60"/>
                  <w:ind w:right="543"/>
                  <w:jc w:val="both"/>
                  <w:outlineLvl w:val="4"/>
                  <w:rPr>
                    <w:rFonts w:eastAsia="Times New Roman" w:cstheme="minorHAnsi"/>
                  </w:rPr>
                </w:pPr>
                <w:r w:rsidRPr="003609AD">
                  <w:rPr>
                    <w:rFonts w:eastAsia="Times New Roman" w:cstheme="minorHAnsi"/>
                  </w:rPr>
                  <w:lastRenderedPageBreak/>
                  <w:t>To represent SSAB interests at regional and national levels and to share information, skills, experience and knowledge via regional and national networks and consortia.</w:t>
                </w:r>
              </w:p>
              <w:p w:rsidR="00754C7E" w:rsidRPr="00754C7E" w:rsidRDefault="0071404D" w:rsidP="0071404D">
                <w:pPr>
                  <w:keepNext/>
                  <w:numPr>
                    <w:ilvl w:val="0"/>
                    <w:numId w:val="15"/>
                  </w:numPr>
                  <w:spacing w:before="60"/>
                  <w:ind w:right="543"/>
                  <w:jc w:val="both"/>
                  <w:outlineLvl w:val="4"/>
                  <w:rPr>
                    <w:rFonts w:eastAsia="Times New Roman" w:cstheme="minorHAnsi"/>
                  </w:rPr>
                </w:pPr>
                <w:r w:rsidRPr="003609AD">
                  <w:rPr>
                    <w:rFonts w:eastAsia="Times New Roman" w:cstheme="minorHAnsi"/>
                  </w:rPr>
                  <w:t>To work with the chair of the SSAB and other Boards in monitoring the strategic ‘horizon’ in order to prepare the SSAB for changes in legislation, policy and opportunities to improve</w:t>
                </w:r>
              </w:p>
              <w:p w:rsidR="0071404D" w:rsidRPr="003609AD" w:rsidRDefault="00754C7E" w:rsidP="00754C7E">
                <w:pPr>
                  <w:keepNext/>
                  <w:spacing w:before="60"/>
                  <w:ind w:left="360" w:right="543"/>
                  <w:jc w:val="both"/>
                  <w:outlineLvl w:val="4"/>
                  <w:rPr>
                    <w:rFonts w:eastAsia="Times New Roman" w:cstheme="minorHAnsi"/>
                  </w:rPr>
                </w:pPr>
                <w:r w:rsidRPr="00754C7E">
                  <w:rPr>
                    <w:rFonts w:eastAsia="Times New Roman" w:cstheme="minorHAnsi"/>
                  </w:rPr>
                  <w:t>p</w:t>
                </w:r>
                <w:r w:rsidR="0071404D" w:rsidRPr="003609AD">
                  <w:rPr>
                    <w:rFonts w:eastAsia="Times New Roman" w:cstheme="minorHAnsi"/>
                  </w:rPr>
                  <w:t>ractice</w:t>
                </w:r>
              </w:p>
              <w:tbl>
                <w:tblPr>
                  <w:tblW w:w="10146" w:type="dxa"/>
                  <w:tblBorders>
                    <w:top w:val="nil"/>
                    <w:left w:val="nil"/>
                    <w:bottom w:val="nil"/>
                    <w:right w:val="nil"/>
                  </w:tblBorders>
                  <w:tblLayout w:type="fixed"/>
                  <w:tblLook w:val="0000" w:firstRow="0" w:lastRow="0" w:firstColumn="0" w:lastColumn="0" w:noHBand="0" w:noVBand="0"/>
                </w:tblPr>
                <w:tblGrid>
                  <w:gridCol w:w="10146"/>
                </w:tblGrid>
                <w:tr w:rsidR="0071404D" w:rsidRPr="003609AD" w:rsidTr="007E3659">
                  <w:trPr>
                    <w:trHeight w:val="250"/>
                  </w:trPr>
                  <w:tc>
                    <w:tcPr>
                      <w:tcW w:w="10146" w:type="dxa"/>
                    </w:tcPr>
                    <w:p w:rsidR="00754C7E" w:rsidRPr="00754C7E" w:rsidRDefault="0071404D" w:rsidP="0071404D">
                      <w:pPr>
                        <w:numPr>
                          <w:ilvl w:val="0"/>
                          <w:numId w:val="15"/>
                        </w:numPr>
                        <w:autoSpaceDE w:val="0"/>
                        <w:autoSpaceDN w:val="0"/>
                        <w:adjustRightInd w:val="0"/>
                        <w:spacing w:before="60" w:after="0" w:line="240" w:lineRule="auto"/>
                        <w:ind w:left="210" w:hanging="284"/>
                        <w:jc w:val="both"/>
                        <w:rPr>
                          <w:rFonts w:eastAsia="Times New Roman" w:cstheme="minorHAnsi"/>
                          <w:color w:val="000000"/>
                          <w:lang w:eastAsia="en-GB"/>
                        </w:rPr>
                      </w:pPr>
                      <w:r w:rsidRPr="003609AD">
                        <w:rPr>
                          <w:rFonts w:eastAsia="Times New Roman" w:cstheme="minorHAnsi"/>
                          <w:color w:val="000000"/>
                          <w:lang w:eastAsia="en-GB"/>
                        </w:rPr>
                        <w:t xml:space="preserve">To manage the multi-agency budget for the Safeguarding Adults Board, provide regular budget </w:t>
                      </w:r>
                    </w:p>
                    <w:p w:rsidR="0071404D" w:rsidRPr="003609AD" w:rsidRDefault="0071404D" w:rsidP="00754C7E">
                      <w:pPr>
                        <w:autoSpaceDE w:val="0"/>
                        <w:autoSpaceDN w:val="0"/>
                        <w:adjustRightInd w:val="0"/>
                        <w:spacing w:before="60" w:after="0" w:line="240" w:lineRule="auto"/>
                        <w:ind w:left="210"/>
                        <w:jc w:val="both"/>
                        <w:rPr>
                          <w:rFonts w:eastAsia="Times New Roman" w:cstheme="minorHAnsi"/>
                          <w:color w:val="000000"/>
                          <w:lang w:eastAsia="en-GB"/>
                        </w:rPr>
                      </w:pPr>
                      <w:proofErr w:type="gramStart"/>
                      <w:r w:rsidRPr="003609AD">
                        <w:rPr>
                          <w:rFonts w:eastAsia="Times New Roman" w:cstheme="minorHAnsi"/>
                          <w:color w:val="000000"/>
                          <w:lang w:eastAsia="en-GB"/>
                        </w:rPr>
                        <w:t>r</w:t>
                      </w:r>
                      <w:r w:rsidR="00754C7E" w:rsidRPr="00754C7E">
                        <w:rPr>
                          <w:rFonts w:eastAsia="Times New Roman" w:cstheme="minorHAnsi"/>
                          <w:color w:val="000000"/>
                          <w:lang w:eastAsia="en-GB"/>
                        </w:rPr>
                        <w:t>eports</w:t>
                      </w:r>
                      <w:proofErr w:type="gramEnd"/>
                      <w:r w:rsidRPr="003609AD">
                        <w:rPr>
                          <w:rFonts w:eastAsia="Times New Roman" w:cstheme="minorHAnsi"/>
                          <w:color w:val="000000"/>
                          <w:lang w:eastAsia="en-GB"/>
                        </w:rPr>
                        <w:t xml:space="preserve">, and prioritise spend appropriately to ensure resources are used efficiently and effectively. </w:t>
                      </w:r>
                    </w:p>
                    <w:p w:rsidR="0071404D" w:rsidRPr="003609AD" w:rsidRDefault="0071404D" w:rsidP="0071404D">
                      <w:pPr>
                        <w:autoSpaceDE w:val="0"/>
                        <w:autoSpaceDN w:val="0"/>
                        <w:adjustRightInd w:val="0"/>
                        <w:spacing w:after="0" w:line="240" w:lineRule="auto"/>
                        <w:jc w:val="both"/>
                        <w:rPr>
                          <w:rFonts w:eastAsia="Times New Roman" w:cstheme="minorHAnsi"/>
                          <w:color w:val="000000"/>
                          <w:lang w:eastAsia="en-GB"/>
                        </w:rPr>
                      </w:pPr>
                    </w:p>
                  </w:tc>
                </w:tr>
              </w:tbl>
              <w:p w:rsidR="0071404D" w:rsidRDefault="00BD2F37" w:rsidP="0071404D">
                <w:pPr>
                  <w:autoSpaceDE w:val="0"/>
                  <w:autoSpaceDN w:val="0"/>
                  <w:adjustRightInd w:val="0"/>
                  <w:spacing w:before="60"/>
                  <w:jc w:val="both"/>
                  <w:rPr>
                    <w:rFonts w:ascii="Arial" w:hAnsi="Arial"/>
                  </w:rPr>
                </w:pPr>
              </w:p>
            </w:sdtContent>
          </w:sdt>
          <w:p w:rsidR="00D41E74" w:rsidRPr="009D6179" w:rsidRDefault="00D41E74" w:rsidP="0071404D">
            <w:pPr>
              <w:autoSpaceDE w:val="0"/>
              <w:autoSpaceDN w:val="0"/>
              <w:adjustRightInd w:val="0"/>
              <w:spacing w:before="60"/>
              <w:jc w:val="both"/>
            </w:pPr>
          </w:p>
        </w:tc>
        <w:tc>
          <w:tcPr>
            <w:tcW w:w="3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r w:rsidRPr="000941A7">
              <w:rPr>
                <w:b/>
              </w:rPr>
              <w:t>Tackling poverty and inequality</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r w:rsidRPr="000941A7">
              <w:rPr>
                <w:noProof/>
                <w:lang w:eastAsia="en-GB"/>
              </w:rPr>
              <w:drawing>
                <wp:anchor distT="0" distB="0" distL="114300" distR="114300" simplePos="0" relativeHeight="251646976" behindDoc="0" locked="0" layoutInCell="1" allowOverlap="1">
                  <wp:simplePos x="0" y="0"/>
                  <wp:positionH relativeFrom="column">
                    <wp:posOffset>274955</wp:posOffset>
                  </wp:positionH>
                  <wp:positionV relativeFrom="paragraph">
                    <wp:posOffset>184150</wp:posOffset>
                  </wp:positionV>
                  <wp:extent cx="377825" cy="387985"/>
                  <wp:effectExtent l="19050" t="0" r="3175" b="0"/>
                  <wp:wrapSquare wrapText="bothSides"/>
                  <wp:docPr id="7" name="Picture 1" descr="\\salford.gov.uk\documents\SCC\execbhinks\Documents\My Pictures\co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documents\SCC\execbhinks\Documents\My Pictures\coins.png"/>
                          <pic:cNvPicPr>
                            <a:picLocks noChangeAspect="1" noChangeArrowheads="1"/>
                          </pic:cNvPicPr>
                        </pic:nvPicPr>
                        <pic:blipFill>
                          <a:blip r:embed="rId8" cstate="print"/>
                          <a:srcRect/>
                          <a:stretch>
                            <a:fillRect/>
                          </a:stretch>
                        </pic:blipFill>
                        <pic:spPr bwMode="auto">
                          <a:xfrm>
                            <a:off x="0" y="0"/>
                            <a:ext cx="377825" cy="387985"/>
                          </a:xfrm>
                          <a:prstGeom prst="rect">
                            <a:avLst/>
                          </a:prstGeom>
                          <a:noFill/>
                          <a:ln w="9525">
                            <a:noFill/>
                            <a:miter lim="800000"/>
                            <a:headEnd/>
                            <a:tailEnd/>
                          </a:ln>
                        </pic:spPr>
                      </pic:pic>
                    </a:graphicData>
                  </a:graphic>
                </wp:anchor>
              </w:drawing>
            </w:r>
          </w:p>
        </w:tc>
        <w:tc>
          <w:tcPr>
            <w:tcW w:w="21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r w:rsidRPr="000941A7">
              <w:t>Addressing poverty and tackling inequalities</w:t>
            </w:r>
          </w:p>
        </w:tc>
      </w:tr>
      <w:tr w:rsidR="000941A7" w:rsidTr="00265D7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7"/>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r w:rsidRPr="000941A7">
              <w:rPr>
                <w:b/>
              </w:rPr>
              <w:t>Education and Skills</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r w:rsidRPr="000941A7">
              <w:rPr>
                <w:noProof/>
                <w:lang w:eastAsia="en-GB"/>
              </w:rPr>
              <w:drawing>
                <wp:anchor distT="0" distB="0" distL="114300" distR="114300" simplePos="0" relativeHeight="251651072" behindDoc="0" locked="0" layoutInCell="1" allowOverlap="1">
                  <wp:simplePos x="0" y="0"/>
                  <wp:positionH relativeFrom="column">
                    <wp:posOffset>240665</wp:posOffset>
                  </wp:positionH>
                  <wp:positionV relativeFrom="paragraph">
                    <wp:posOffset>167640</wp:posOffset>
                  </wp:positionV>
                  <wp:extent cx="445770" cy="440055"/>
                  <wp:effectExtent l="19050" t="0" r="0" b="0"/>
                  <wp:wrapSquare wrapText="bothSides"/>
                  <wp:docPr id="8" name="Picture 2" descr="\\salford.gov.uk\documents\SCC\execbhinks\Documents\My Pictures\dipl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gov.uk\documents\SCC\execbhinks\Documents\My Pictures\diploma.png"/>
                          <pic:cNvPicPr>
                            <a:picLocks noChangeAspect="1" noChangeArrowheads="1"/>
                          </pic:cNvPicPr>
                        </pic:nvPicPr>
                        <pic:blipFill>
                          <a:blip r:embed="rId9" cstate="print"/>
                          <a:srcRect/>
                          <a:stretch>
                            <a:fillRect/>
                          </a:stretch>
                        </pic:blipFill>
                        <pic:spPr bwMode="auto">
                          <a:xfrm>
                            <a:off x="0" y="0"/>
                            <a:ext cx="445770" cy="440055"/>
                          </a:xfrm>
                          <a:prstGeom prst="rect">
                            <a:avLst/>
                          </a:prstGeom>
                          <a:noFill/>
                          <a:ln w="9525">
                            <a:noFill/>
                            <a:miter lim="800000"/>
                            <a:headEnd/>
                            <a:tailEnd/>
                          </a:ln>
                        </pic:spPr>
                      </pic:pic>
                    </a:graphicData>
                  </a:graphic>
                </wp:anchor>
              </w:drawing>
            </w:r>
          </w:p>
        </w:tc>
        <w:tc>
          <w:tcPr>
            <w:tcW w:w="21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r w:rsidRPr="000941A7">
              <w:t>Developing skills and a strong education offer</w:t>
            </w:r>
          </w:p>
        </w:tc>
      </w:tr>
      <w:tr w:rsidR="000941A7" w:rsidTr="00265D7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7"/>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r w:rsidRPr="000941A7">
              <w:rPr>
                <w:b/>
              </w:rPr>
              <w:t>Health and Social Care</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r w:rsidRPr="000941A7">
              <w:rPr>
                <w:noProof/>
                <w:lang w:eastAsia="en-GB"/>
              </w:rPr>
              <w:drawing>
                <wp:anchor distT="0" distB="0" distL="114300" distR="114300" simplePos="0" relativeHeight="251655168" behindDoc="0" locked="0" layoutInCell="1" allowOverlap="1">
                  <wp:simplePos x="0" y="0"/>
                  <wp:positionH relativeFrom="column">
                    <wp:posOffset>214630</wp:posOffset>
                  </wp:positionH>
                  <wp:positionV relativeFrom="paragraph">
                    <wp:posOffset>-46990</wp:posOffset>
                  </wp:positionV>
                  <wp:extent cx="498475" cy="509270"/>
                  <wp:effectExtent l="19050" t="0" r="0" b="0"/>
                  <wp:wrapSquare wrapText="bothSides"/>
                  <wp:docPr id="9" name="Picture 7" descr="\\salford.gov.uk\documents\SCC\execbhinks\Documents\My Pictures\heartbe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ford.gov.uk\documents\SCC\execbhinks\Documents\My Pictures\heartbeats.png"/>
                          <pic:cNvPicPr>
                            <a:picLocks noChangeAspect="1" noChangeArrowheads="1"/>
                          </pic:cNvPicPr>
                        </pic:nvPicPr>
                        <pic:blipFill>
                          <a:blip r:embed="rId10" cstate="print"/>
                          <a:srcRect/>
                          <a:stretch>
                            <a:fillRect/>
                          </a:stretch>
                        </pic:blipFill>
                        <pic:spPr bwMode="auto">
                          <a:xfrm>
                            <a:off x="0" y="0"/>
                            <a:ext cx="498475" cy="509270"/>
                          </a:xfrm>
                          <a:prstGeom prst="rect">
                            <a:avLst/>
                          </a:prstGeom>
                          <a:noFill/>
                          <a:ln w="9525">
                            <a:noFill/>
                            <a:miter lim="800000"/>
                            <a:headEnd/>
                            <a:tailEnd/>
                          </a:ln>
                        </pic:spPr>
                      </pic:pic>
                    </a:graphicData>
                  </a:graphic>
                </wp:anchor>
              </w:drawing>
            </w:r>
          </w:p>
        </w:tc>
        <w:tc>
          <w:tcPr>
            <w:tcW w:w="21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r w:rsidRPr="000941A7">
              <w:t>Working with partners to improve health and wellbeing</w:t>
            </w:r>
          </w:p>
        </w:tc>
      </w:tr>
      <w:tr w:rsidR="000941A7" w:rsidTr="00265D7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7"/>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r w:rsidRPr="000941A7">
              <w:rPr>
                <w:b/>
              </w:rPr>
              <w:t>Development</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r w:rsidRPr="000941A7">
              <w:rPr>
                <w:noProof/>
                <w:lang w:eastAsia="en-GB"/>
              </w:rPr>
              <w:drawing>
                <wp:anchor distT="0" distB="0" distL="114300" distR="114300" simplePos="0" relativeHeight="251659264" behindDoc="0" locked="0" layoutInCell="1" allowOverlap="1">
                  <wp:simplePos x="0" y="0"/>
                  <wp:positionH relativeFrom="column">
                    <wp:posOffset>201930</wp:posOffset>
                  </wp:positionH>
                  <wp:positionV relativeFrom="paragraph">
                    <wp:posOffset>-36830</wp:posOffset>
                  </wp:positionV>
                  <wp:extent cx="523875" cy="517525"/>
                  <wp:effectExtent l="19050" t="0" r="9525" b="0"/>
                  <wp:wrapSquare wrapText="bothSides"/>
                  <wp:docPr id="10" name="Picture 5" descr="\\salford.gov.uk\documents\SCC\execbhinks\Documents\My Pictures\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gov.uk\documents\SCC\execbhinks\Documents\My Pictures\office.png"/>
                          <pic:cNvPicPr>
                            <a:picLocks noChangeAspect="1" noChangeArrowheads="1"/>
                          </pic:cNvPicPr>
                        </pic:nvPicPr>
                        <pic:blipFill>
                          <a:blip r:embed="rId11" cstate="print"/>
                          <a:srcRect/>
                          <a:stretch>
                            <a:fillRect/>
                          </a:stretch>
                        </pic:blipFill>
                        <pic:spPr bwMode="auto">
                          <a:xfrm>
                            <a:off x="0" y="0"/>
                            <a:ext cx="523875" cy="517525"/>
                          </a:xfrm>
                          <a:prstGeom prst="rect">
                            <a:avLst/>
                          </a:prstGeom>
                          <a:noFill/>
                          <a:ln w="9525">
                            <a:noFill/>
                            <a:miter lim="800000"/>
                            <a:headEnd/>
                            <a:tailEnd/>
                          </a:ln>
                        </pic:spPr>
                      </pic:pic>
                    </a:graphicData>
                  </a:graphic>
                </wp:anchor>
              </w:drawing>
            </w:r>
          </w:p>
        </w:tc>
        <w:tc>
          <w:tcPr>
            <w:tcW w:w="21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r w:rsidRPr="000941A7">
              <w:t>Investment that provides jobs with decent wages</w:t>
            </w:r>
          </w:p>
        </w:tc>
      </w:tr>
      <w:tr w:rsidR="000941A7" w:rsidTr="00265D7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7"/>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r w:rsidRPr="000941A7">
              <w:rPr>
                <w:b/>
              </w:rPr>
              <w:t>Housing</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r w:rsidRPr="000941A7">
              <w:rPr>
                <w:noProof/>
                <w:lang w:eastAsia="en-GB"/>
              </w:rPr>
              <w:drawing>
                <wp:anchor distT="0" distB="0" distL="114300" distR="114300" simplePos="0" relativeHeight="251663360" behindDoc="0" locked="0" layoutInCell="1" allowOverlap="1">
                  <wp:simplePos x="0" y="0"/>
                  <wp:positionH relativeFrom="column">
                    <wp:posOffset>201930</wp:posOffset>
                  </wp:positionH>
                  <wp:positionV relativeFrom="paragraph">
                    <wp:posOffset>27940</wp:posOffset>
                  </wp:positionV>
                  <wp:extent cx="523240" cy="508635"/>
                  <wp:effectExtent l="19050" t="0" r="0" b="0"/>
                  <wp:wrapSquare wrapText="bothSides"/>
                  <wp:docPr id="11" name="Picture 3" descr="\\salford.gov.uk\documents\SCC\execbhinks\Documents\My Pictures\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ford.gov.uk\documents\SCC\execbhinks\Documents\My Pictures\home.png"/>
                          <pic:cNvPicPr>
                            <a:picLocks noChangeAspect="1" noChangeArrowheads="1"/>
                          </pic:cNvPicPr>
                        </pic:nvPicPr>
                        <pic:blipFill>
                          <a:blip r:embed="rId12" cstate="print"/>
                          <a:srcRect/>
                          <a:stretch>
                            <a:fillRect/>
                          </a:stretch>
                        </pic:blipFill>
                        <pic:spPr bwMode="auto">
                          <a:xfrm>
                            <a:off x="0" y="0"/>
                            <a:ext cx="523240" cy="508635"/>
                          </a:xfrm>
                          <a:prstGeom prst="rect">
                            <a:avLst/>
                          </a:prstGeom>
                          <a:noFill/>
                          <a:ln w="9525">
                            <a:noFill/>
                            <a:miter lim="800000"/>
                            <a:headEnd/>
                            <a:tailEnd/>
                          </a:ln>
                        </pic:spPr>
                      </pic:pic>
                    </a:graphicData>
                  </a:graphic>
                </wp:anchor>
              </w:drawing>
            </w:r>
          </w:p>
        </w:tc>
        <w:tc>
          <w:tcPr>
            <w:tcW w:w="21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r w:rsidRPr="000941A7">
              <w:t>Connecting affordable housing</w:t>
            </w:r>
          </w:p>
        </w:tc>
      </w:tr>
      <w:tr w:rsidR="000941A7" w:rsidTr="00265D7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7"/>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r w:rsidRPr="000941A7">
              <w:rPr>
                <w:b/>
              </w:rPr>
              <w:t>Transport</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r w:rsidRPr="000941A7">
              <w:rPr>
                <w:noProof/>
                <w:lang w:eastAsia="en-GB"/>
              </w:rPr>
              <w:drawing>
                <wp:anchor distT="0" distB="0" distL="114300" distR="114300" simplePos="0" relativeHeight="251667456" behindDoc="0" locked="0" layoutInCell="1" allowOverlap="1">
                  <wp:simplePos x="0" y="0"/>
                  <wp:positionH relativeFrom="column">
                    <wp:posOffset>191770</wp:posOffset>
                  </wp:positionH>
                  <wp:positionV relativeFrom="paragraph">
                    <wp:posOffset>48260</wp:posOffset>
                  </wp:positionV>
                  <wp:extent cx="543560" cy="542925"/>
                  <wp:effectExtent l="0" t="0" r="0" b="0"/>
                  <wp:wrapSquare wrapText="bothSides"/>
                  <wp:docPr id="12" name="Picture 4" descr="\\salford.gov.uk\documents\SCC\execbhinks\Documents\My Pictures\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ford.gov.uk\documents\SCC\execbhinks\Documents\My Pictures\transport.png"/>
                          <pic:cNvPicPr>
                            <a:picLocks noChangeAspect="1" noChangeArrowheads="1"/>
                          </pic:cNvPicPr>
                        </pic:nvPicPr>
                        <pic:blipFill>
                          <a:blip r:embed="rId13" cstate="print"/>
                          <a:srcRect/>
                          <a:stretch>
                            <a:fillRect/>
                          </a:stretch>
                        </pic:blipFill>
                        <pic:spPr bwMode="auto">
                          <a:xfrm>
                            <a:off x="0" y="0"/>
                            <a:ext cx="543560" cy="542925"/>
                          </a:xfrm>
                          <a:prstGeom prst="rect">
                            <a:avLst/>
                          </a:prstGeom>
                          <a:noFill/>
                          <a:ln w="9525">
                            <a:noFill/>
                            <a:miter lim="800000"/>
                            <a:headEnd/>
                            <a:tailEnd/>
                          </a:ln>
                        </pic:spPr>
                      </pic:pic>
                    </a:graphicData>
                  </a:graphic>
                </wp:anchor>
              </w:drawing>
            </w:r>
          </w:p>
        </w:tc>
        <w:tc>
          <w:tcPr>
            <w:tcW w:w="21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r w:rsidRPr="000941A7">
              <w:t>Connecting affordable transport with jobs and skills</w:t>
            </w:r>
          </w:p>
        </w:tc>
      </w:tr>
      <w:tr w:rsidR="000941A7" w:rsidTr="00265D7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7"/>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r w:rsidRPr="000941A7">
              <w:rPr>
                <w:b/>
              </w:rPr>
              <w:t>A transparent effective organisation</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r w:rsidRPr="000941A7">
              <w:rPr>
                <w:noProof/>
                <w:lang w:eastAsia="en-GB"/>
              </w:rPr>
              <w:drawing>
                <wp:anchor distT="0" distB="0" distL="114300" distR="114300" simplePos="0" relativeHeight="251670528" behindDoc="0" locked="0" layoutInCell="1" allowOverlap="1">
                  <wp:simplePos x="0" y="0"/>
                  <wp:positionH relativeFrom="column">
                    <wp:posOffset>240665</wp:posOffset>
                  </wp:positionH>
                  <wp:positionV relativeFrom="paragraph">
                    <wp:posOffset>99060</wp:posOffset>
                  </wp:positionV>
                  <wp:extent cx="445770" cy="440055"/>
                  <wp:effectExtent l="19050" t="0" r="0" b="0"/>
                  <wp:wrapSquare wrapText="bothSides"/>
                  <wp:docPr id="13" name="Picture 6" descr="\\salford.gov.uk\documents\SCC\execbhinks\Documents\My Picture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ford.gov.uk\documents\SCC\execbhinks\Documents\My Pictures\school.png"/>
                          <pic:cNvPicPr>
                            <a:picLocks noChangeAspect="1" noChangeArrowheads="1"/>
                          </pic:cNvPicPr>
                        </pic:nvPicPr>
                        <pic:blipFill>
                          <a:blip r:embed="rId14" cstate="print"/>
                          <a:srcRect/>
                          <a:stretch>
                            <a:fillRect/>
                          </a:stretch>
                        </pic:blipFill>
                        <pic:spPr bwMode="auto">
                          <a:xfrm>
                            <a:off x="0" y="0"/>
                            <a:ext cx="445770" cy="440055"/>
                          </a:xfrm>
                          <a:prstGeom prst="rect">
                            <a:avLst/>
                          </a:prstGeom>
                          <a:noFill/>
                          <a:ln w="9525">
                            <a:noFill/>
                            <a:miter lim="800000"/>
                            <a:headEnd/>
                            <a:tailEnd/>
                          </a:ln>
                        </pic:spPr>
                      </pic:pic>
                    </a:graphicData>
                  </a:graphic>
                </wp:anchor>
              </w:drawing>
            </w:r>
          </w:p>
        </w:tc>
        <w:tc>
          <w:tcPr>
            <w:tcW w:w="21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r w:rsidRPr="000941A7">
              <w:t>Delivering effective and efficient council services</w:t>
            </w:r>
          </w:p>
        </w:tc>
      </w:tr>
      <w:tr w:rsidR="000941A7" w:rsidTr="00265D7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348"/>
        </w:trPr>
        <w:tc>
          <w:tcPr>
            <w:tcW w:w="9347" w:type="dxa"/>
            <w:gridSpan w:val="7"/>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r w:rsidRPr="000941A7">
              <w:rPr>
                <w:b/>
              </w:rPr>
              <w:t>Social Impact</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pPr>
              <w:jc w:val="center"/>
            </w:pPr>
            <w:r w:rsidRPr="000941A7">
              <w:rPr>
                <w:noProof/>
                <w:lang w:eastAsia="en-GB"/>
              </w:rPr>
              <w:drawing>
                <wp:inline distT="0" distB="0" distL="0" distR="0">
                  <wp:extent cx="688156" cy="688156"/>
                  <wp:effectExtent l="19050" t="0" r="0" b="0"/>
                  <wp:docPr id="16" name="Picture 1" descr="\\salford.gov.uk\documents\SCC\execbhinks\Documents\My Pictures\family-group-of-a-couple-with-three-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documents\SCC\execbhinks\Documents\My Pictures\family-group-of-a-couple-with-three-children.png"/>
                          <pic:cNvPicPr>
                            <a:picLocks noChangeAspect="1" noChangeArrowheads="1"/>
                          </pic:cNvPicPr>
                        </pic:nvPicPr>
                        <pic:blipFill>
                          <a:blip r:embed="rId15" cstate="print"/>
                          <a:srcRect/>
                          <a:stretch>
                            <a:fillRect/>
                          </a:stretch>
                        </pic:blipFill>
                        <pic:spPr bwMode="auto">
                          <a:xfrm>
                            <a:off x="0" y="0"/>
                            <a:ext cx="688448" cy="688448"/>
                          </a:xfrm>
                          <a:prstGeom prst="rect">
                            <a:avLst/>
                          </a:prstGeom>
                          <a:noFill/>
                          <a:ln w="9525">
                            <a:noFill/>
                            <a:miter lim="800000"/>
                            <a:headEnd/>
                            <a:tailEnd/>
                          </a:ln>
                        </pic:spPr>
                      </pic:pic>
                    </a:graphicData>
                  </a:graphic>
                </wp:inline>
              </w:drawing>
            </w:r>
          </w:p>
        </w:tc>
        <w:tc>
          <w:tcPr>
            <w:tcW w:w="21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r w:rsidRPr="000941A7">
              <w:t>Using social value to make the most difference in Salford</w:t>
            </w:r>
          </w:p>
        </w:tc>
      </w:tr>
      <w:tr w:rsidR="00E56C51" w:rsidRPr="00BA6900" w:rsidTr="00265D7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gridBefore w:val="1"/>
          <w:gridAfter w:val="1"/>
          <w:wBefore w:w="118" w:type="dxa"/>
          <w:wAfter w:w="73" w:type="dxa"/>
        </w:trPr>
        <w:tc>
          <w:tcPr>
            <w:tcW w:w="15730" w:type="dxa"/>
            <w:gridSpan w:val="12"/>
            <w:tcBorders>
              <w:bottom w:val="single" w:sz="4" w:space="0" w:color="FFFFFF" w:themeColor="background1"/>
            </w:tcBorders>
            <w:shd w:val="clear" w:color="auto" w:fill="E6007E"/>
          </w:tcPr>
          <w:p w:rsidR="00E56C51" w:rsidRPr="00BA6900" w:rsidRDefault="00327277" w:rsidP="00265D73">
            <w:pPr>
              <w:rPr>
                <w:b/>
                <w:color w:val="FFFFFF" w:themeColor="background1"/>
              </w:rPr>
            </w:pPr>
            <w:r>
              <w:br w:type="page"/>
            </w:r>
            <w:r w:rsidR="00E56C51">
              <w:br w:type="page"/>
            </w:r>
            <w:r w:rsidR="00E56C51">
              <w:rPr>
                <w:b/>
                <w:color w:val="FFFFFF" w:themeColor="background1"/>
              </w:rPr>
              <w:t>Key outcomes</w:t>
            </w:r>
            <w:r w:rsidR="00E56C51" w:rsidRPr="00BA6900">
              <w:rPr>
                <w:b/>
                <w:color w:val="FFFFFF" w:themeColor="background1"/>
              </w:rPr>
              <w:t xml:space="preserve">  </w:t>
            </w:r>
          </w:p>
        </w:tc>
      </w:tr>
      <w:tr w:rsidR="00756924" w:rsidTr="0026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8" w:type="dxa"/>
          <w:wAfter w:w="73" w:type="dxa"/>
          <w:trHeight w:val="737"/>
        </w:trPr>
        <w:tc>
          <w:tcPr>
            <w:tcW w:w="7364" w:type="dxa"/>
            <w:gridSpan w:val="4"/>
          </w:tcPr>
          <w:p w:rsidR="00265D73" w:rsidRPr="00754C7E" w:rsidRDefault="00265D73" w:rsidP="00265D73">
            <w:pPr>
              <w:pStyle w:val="Heading5"/>
              <w:keepLines w:val="0"/>
              <w:spacing w:before="0"/>
              <w:ind w:right="543"/>
              <w:jc w:val="both"/>
              <w:outlineLvl w:val="4"/>
              <w:rPr>
                <w:rFonts w:asciiTheme="minorHAnsi" w:eastAsia="Times New Roman" w:hAnsiTheme="minorHAnsi" w:cstheme="minorHAnsi"/>
                <w:color w:val="auto"/>
              </w:rPr>
            </w:pPr>
            <w:r w:rsidRPr="00754C7E">
              <w:rPr>
                <w:rFonts w:asciiTheme="minorHAnsi" w:eastAsia="Times New Roman" w:hAnsiTheme="minorHAnsi" w:cstheme="minorHAnsi"/>
                <w:color w:val="auto"/>
              </w:rPr>
              <w:t>To develop and manage the SSAB’s relationships with a wide range of senior stakeholders, including directors and chief executives in partner organisations, at borough, regional and national levels.</w:t>
            </w:r>
          </w:p>
          <w:p w:rsidR="00756924" w:rsidRPr="00754C7E" w:rsidRDefault="00756924" w:rsidP="00DC655F">
            <w:pPr>
              <w:autoSpaceDE w:val="0"/>
              <w:autoSpaceDN w:val="0"/>
              <w:adjustRightInd w:val="0"/>
              <w:jc w:val="both"/>
              <w:rPr>
                <w:rFonts w:cstheme="minorHAnsi"/>
              </w:rPr>
            </w:pPr>
          </w:p>
        </w:tc>
        <w:tc>
          <w:tcPr>
            <w:tcW w:w="426" w:type="dxa"/>
            <w:vMerge w:val="restart"/>
          </w:tcPr>
          <w:p w:rsidR="00756924" w:rsidRPr="00754C7E" w:rsidRDefault="00756924" w:rsidP="00DC655F">
            <w:pPr>
              <w:jc w:val="both"/>
              <w:rPr>
                <w:rFonts w:cstheme="minorHAnsi"/>
              </w:rPr>
            </w:pPr>
          </w:p>
        </w:tc>
        <w:tc>
          <w:tcPr>
            <w:tcW w:w="7940" w:type="dxa"/>
            <w:gridSpan w:val="7"/>
          </w:tcPr>
          <w:p w:rsidR="00265D73" w:rsidRPr="00265D73" w:rsidRDefault="00265D73" w:rsidP="00362DE6">
            <w:pPr>
              <w:spacing w:before="60"/>
              <w:ind w:right="543"/>
              <w:jc w:val="both"/>
              <w:rPr>
                <w:rFonts w:eastAsia="Times New Roman" w:cstheme="minorHAnsi"/>
              </w:rPr>
            </w:pPr>
            <w:r w:rsidRPr="00265D73">
              <w:rPr>
                <w:rFonts w:eastAsia="Times New Roman" w:cstheme="minorHAnsi"/>
              </w:rPr>
              <w:t>To ensure implementation of recommendations from Safeguarding Adults Reviews monitoring the progress in conjunction with the Safeguarding Adult Review Panel.</w:t>
            </w:r>
          </w:p>
          <w:p w:rsidR="00756924" w:rsidRPr="00754C7E" w:rsidRDefault="00756924" w:rsidP="0080294D">
            <w:pPr>
              <w:autoSpaceDE w:val="0"/>
              <w:autoSpaceDN w:val="0"/>
              <w:adjustRightInd w:val="0"/>
              <w:jc w:val="both"/>
              <w:rPr>
                <w:rFonts w:cstheme="minorHAnsi"/>
              </w:rPr>
            </w:pPr>
          </w:p>
        </w:tc>
      </w:tr>
      <w:tr w:rsidR="00756924" w:rsidTr="0026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8" w:type="dxa"/>
          <w:wAfter w:w="73" w:type="dxa"/>
          <w:trHeight w:val="737"/>
        </w:trPr>
        <w:tc>
          <w:tcPr>
            <w:tcW w:w="7364" w:type="dxa"/>
            <w:gridSpan w:val="4"/>
          </w:tcPr>
          <w:p w:rsidR="00265D73" w:rsidRPr="00265D73" w:rsidRDefault="00265D73" w:rsidP="00265D73">
            <w:pPr>
              <w:keepNext/>
              <w:spacing w:before="60"/>
              <w:ind w:right="543"/>
              <w:jc w:val="both"/>
              <w:outlineLvl w:val="4"/>
              <w:rPr>
                <w:rFonts w:eastAsia="Times New Roman" w:cstheme="minorHAnsi"/>
              </w:rPr>
            </w:pPr>
            <w:r w:rsidRPr="00265D73">
              <w:rPr>
                <w:rFonts w:eastAsia="Times New Roman" w:cstheme="minorHAnsi"/>
              </w:rPr>
              <w:t>To co-ordinate and promote high level communication, joint planning and multi-agency projects, and implementation of strategic plans between SSAB member organisations and other strategic partner agencies</w:t>
            </w:r>
          </w:p>
          <w:p w:rsidR="00756924" w:rsidRPr="00754C7E" w:rsidRDefault="00756924" w:rsidP="00DC655F">
            <w:pPr>
              <w:autoSpaceDE w:val="0"/>
              <w:autoSpaceDN w:val="0"/>
              <w:adjustRightInd w:val="0"/>
              <w:jc w:val="both"/>
              <w:rPr>
                <w:rFonts w:cstheme="minorHAnsi"/>
              </w:rPr>
            </w:pPr>
          </w:p>
        </w:tc>
        <w:tc>
          <w:tcPr>
            <w:tcW w:w="426" w:type="dxa"/>
            <w:vMerge/>
          </w:tcPr>
          <w:p w:rsidR="00756924" w:rsidRPr="00754C7E" w:rsidRDefault="00756924" w:rsidP="00DC655F">
            <w:pPr>
              <w:jc w:val="both"/>
              <w:rPr>
                <w:rFonts w:cstheme="minorHAnsi"/>
              </w:rPr>
            </w:pPr>
          </w:p>
        </w:tc>
        <w:tc>
          <w:tcPr>
            <w:tcW w:w="7940" w:type="dxa"/>
            <w:gridSpan w:val="7"/>
          </w:tcPr>
          <w:p w:rsidR="00265D73" w:rsidRPr="00265D73" w:rsidRDefault="00265D73" w:rsidP="00362DE6">
            <w:pPr>
              <w:spacing w:before="60"/>
              <w:ind w:right="543"/>
              <w:jc w:val="both"/>
              <w:rPr>
                <w:rFonts w:eastAsia="Times New Roman" w:cstheme="minorHAnsi"/>
              </w:rPr>
            </w:pPr>
            <w:r w:rsidRPr="00265D73">
              <w:rPr>
                <w:rFonts w:eastAsia="Times New Roman" w:cstheme="minorHAnsi"/>
                <w:color w:val="000000"/>
              </w:rPr>
              <w:t xml:space="preserve">Liaise with operational managers and practitioners in Adult Social Care Services, CCG and Police and other partner agencies to develop, implement and monitor action plans for presentation to the SSAB and for disseminating the implications and </w:t>
            </w:r>
            <w:proofErr w:type="gramStart"/>
            <w:r w:rsidRPr="00265D73">
              <w:rPr>
                <w:rFonts w:eastAsia="Times New Roman" w:cstheme="minorHAnsi"/>
                <w:color w:val="000000"/>
              </w:rPr>
              <w:t>implementation  to</w:t>
            </w:r>
            <w:proofErr w:type="gramEnd"/>
            <w:r w:rsidRPr="00265D73">
              <w:rPr>
                <w:rFonts w:eastAsia="Times New Roman" w:cstheme="minorHAnsi"/>
                <w:color w:val="000000"/>
              </w:rPr>
              <w:t xml:space="preserve"> operational staff where appropriate.</w:t>
            </w:r>
          </w:p>
          <w:p w:rsidR="00756924" w:rsidRPr="00754C7E" w:rsidRDefault="00756924" w:rsidP="00DC655F">
            <w:pPr>
              <w:autoSpaceDE w:val="0"/>
              <w:autoSpaceDN w:val="0"/>
              <w:adjustRightInd w:val="0"/>
              <w:jc w:val="both"/>
              <w:rPr>
                <w:rFonts w:cstheme="minorHAnsi"/>
              </w:rPr>
            </w:pPr>
          </w:p>
        </w:tc>
      </w:tr>
      <w:tr w:rsidR="00756924" w:rsidTr="0026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8" w:type="dxa"/>
          <w:wAfter w:w="73" w:type="dxa"/>
          <w:trHeight w:val="737"/>
        </w:trPr>
        <w:tc>
          <w:tcPr>
            <w:tcW w:w="7364" w:type="dxa"/>
            <w:gridSpan w:val="4"/>
          </w:tcPr>
          <w:p w:rsidR="00265D73" w:rsidRPr="00265D73" w:rsidRDefault="00265D73" w:rsidP="00362DE6">
            <w:pPr>
              <w:keepNext/>
              <w:spacing w:before="60"/>
              <w:ind w:right="543"/>
              <w:jc w:val="both"/>
              <w:outlineLvl w:val="4"/>
              <w:rPr>
                <w:rFonts w:eastAsia="Times New Roman" w:cstheme="minorHAnsi"/>
              </w:rPr>
            </w:pPr>
            <w:r w:rsidRPr="00265D73">
              <w:rPr>
                <w:rFonts w:eastAsia="Times New Roman" w:cstheme="minorHAnsi"/>
              </w:rPr>
              <w:t>To ensure that SSAB members and partner agencies are briefed on new legislation, government guidance, research findings, funding arrangements and policy developments relating to the safety and welfare of adults and to advise them of the implications for their business planning and service areas.</w:t>
            </w:r>
          </w:p>
          <w:p w:rsidR="00756924" w:rsidRPr="00754C7E" w:rsidRDefault="00756924" w:rsidP="00515E24">
            <w:pPr>
              <w:autoSpaceDE w:val="0"/>
              <w:autoSpaceDN w:val="0"/>
              <w:adjustRightInd w:val="0"/>
              <w:jc w:val="both"/>
              <w:rPr>
                <w:rFonts w:cstheme="minorHAnsi"/>
              </w:rPr>
            </w:pPr>
          </w:p>
        </w:tc>
        <w:tc>
          <w:tcPr>
            <w:tcW w:w="426" w:type="dxa"/>
            <w:vMerge/>
          </w:tcPr>
          <w:p w:rsidR="00756924" w:rsidRPr="00754C7E" w:rsidRDefault="00756924" w:rsidP="00DC655F">
            <w:pPr>
              <w:jc w:val="both"/>
              <w:rPr>
                <w:rFonts w:cstheme="minorHAnsi"/>
              </w:rPr>
            </w:pPr>
          </w:p>
        </w:tc>
        <w:tc>
          <w:tcPr>
            <w:tcW w:w="7940" w:type="dxa"/>
            <w:gridSpan w:val="7"/>
          </w:tcPr>
          <w:p w:rsidR="00265D73" w:rsidRPr="00265D73" w:rsidRDefault="00265D73" w:rsidP="00362DE6">
            <w:pPr>
              <w:spacing w:before="60"/>
              <w:ind w:right="543"/>
              <w:jc w:val="both"/>
              <w:rPr>
                <w:rFonts w:eastAsia="Times New Roman" w:cstheme="minorHAnsi"/>
                <w:bCs/>
              </w:rPr>
            </w:pPr>
            <w:r w:rsidRPr="00265D73">
              <w:rPr>
                <w:rFonts w:eastAsia="Times New Roman" w:cstheme="minorHAnsi"/>
                <w:bCs/>
              </w:rPr>
              <w:t>To lead the SSAB business-planning processes, enabling the SSAB to formulate their strategic directions and identify their key priorities, and ensuring high level ownership of the SSAB business plans</w:t>
            </w:r>
          </w:p>
          <w:p w:rsidR="00756924" w:rsidRPr="00754C7E" w:rsidRDefault="00756924" w:rsidP="00DC655F">
            <w:pPr>
              <w:autoSpaceDE w:val="0"/>
              <w:autoSpaceDN w:val="0"/>
              <w:adjustRightInd w:val="0"/>
              <w:jc w:val="both"/>
              <w:rPr>
                <w:rFonts w:cstheme="minorHAnsi"/>
              </w:rPr>
            </w:pPr>
          </w:p>
        </w:tc>
      </w:tr>
      <w:tr w:rsidR="00756924" w:rsidTr="0026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8" w:type="dxa"/>
          <w:wAfter w:w="73" w:type="dxa"/>
          <w:trHeight w:val="737"/>
        </w:trPr>
        <w:tc>
          <w:tcPr>
            <w:tcW w:w="7364" w:type="dxa"/>
            <w:gridSpan w:val="4"/>
          </w:tcPr>
          <w:p w:rsidR="00265D73" w:rsidRPr="00265D73" w:rsidRDefault="00265D73" w:rsidP="00362DE6">
            <w:pPr>
              <w:spacing w:before="60"/>
              <w:ind w:right="543"/>
              <w:jc w:val="both"/>
              <w:rPr>
                <w:rFonts w:eastAsia="Times New Roman" w:cstheme="minorHAnsi"/>
              </w:rPr>
            </w:pPr>
            <w:r w:rsidRPr="00265D73">
              <w:rPr>
                <w:rFonts w:eastAsia="Times New Roman" w:cstheme="minorHAnsi"/>
              </w:rPr>
              <w:t xml:space="preserve">Lead the development of multi-agency safeguarding procedures and practice guidance which reflects the Board’s commitment to Making Safeguarding Personal </w:t>
            </w:r>
          </w:p>
          <w:p w:rsidR="00756924" w:rsidRPr="00754C7E" w:rsidRDefault="0080294D" w:rsidP="00DC655F">
            <w:pPr>
              <w:jc w:val="both"/>
              <w:rPr>
                <w:rFonts w:cstheme="minorHAnsi"/>
              </w:rPr>
            </w:pPr>
            <w:r w:rsidRPr="00754C7E">
              <w:rPr>
                <w:rFonts w:cstheme="minorHAnsi"/>
              </w:rPr>
              <w:t>.</w:t>
            </w:r>
          </w:p>
          <w:p w:rsidR="00FA2FAE" w:rsidRPr="00754C7E" w:rsidRDefault="00FA2FAE" w:rsidP="00DC655F">
            <w:pPr>
              <w:jc w:val="both"/>
              <w:rPr>
                <w:rFonts w:cstheme="minorHAnsi"/>
              </w:rPr>
            </w:pPr>
          </w:p>
        </w:tc>
        <w:tc>
          <w:tcPr>
            <w:tcW w:w="426" w:type="dxa"/>
            <w:vMerge/>
          </w:tcPr>
          <w:p w:rsidR="00756924" w:rsidRPr="00754C7E" w:rsidRDefault="00756924" w:rsidP="00DC655F">
            <w:pPr>
              <w:jc w:val="both"/>
              <w:rPr>
                <w:rFonts w:cstheme="minorHAnsi"/>
              </w:rPr>
            </w:pPr>
          </w:p>
        </w:tc>
        <w:tc>
          <w:tcPr>
            <w:tcW w:w="7940" w:type="dxa"/>
            <w:gridSpan w:val="7"/>
          </w:tcPr>
          <w:p w:rsidR="00265D73" w:rsidRPr="00265D73" w:rsidRDefault="00265D73" w:rsidP="00362DE6">
            <w:pPr>
              <w:spacing w:before="60"/>
              <w:ind w:right="543"/>
              <w:contextualSpacing/>
              <w:jc w:val="both"/>
              <w:rPr>
                <w:rFonts w:eastAsia="Times New Roman" w:cstheme="minorHAnsi"/>
              </w:rPr>
            </w:pPr>
            <w:r w:rsidRPr="00265D73">
              <w:rPr>
                <w:rFonts w:eastAsia="Times New Roman" w:cstheme="minorHAnsi"/>
              </w:rPr>
              <w:t xml:space="preserve">To oversee the development, delivery and evaluation of a multi-agency training programme  </w:t>
            </w:r>
            <w:r w:rsidR="00362DE6" w:rsidRPr="00754C7E">
              <w:rPr>
                <w:rFonts w:eastAsia="Times New Roman" w:cstheme="minorHAnsi"/>
              </w:rPr>
              <w:t xml:space="preserve">and </w:t>
            </w:r>
            <w:r w:rsidRPr="00265D73">
              <w:rPr>
                <w:rFonts w:eastAsia="Times New Roman" w:cstheme="minorHAnsi"/>
              </w:rPr>
              <w:t xml:space="preserve">lead on the strategic safeguarding adult professional development activities and </w:t>
            </w:r>
            <w:r w:rsidRPr="00265D73">
              <w:rPr>
                <w:rFonts w:eastAsia="Times New Roman" w:cstheme="minorHAnsi"/>
              </w:rPr>
              <w:lastRenderedPageBreak/>
              <w:t>events to promote an effective workforce including changes of “organisational culture” and approach where necessary</w:t>
            </w:r>
          </w:p>
          <w:p w:rsidR="00756924" w:rsidRPr="00754C7E" w:rsidRDefault="00756924" w:rsidP="00DC655F">
            <w:pPr>
              <w:autoSpaceDE w:val="0"/>
              <w:autoSpaceDN w:val="0"/>
              <w:adjustRightInd w:val="0"/>
              <w:jc w:val="both"/>
              <w:rPr>
                <w:rFonts w:cstheme="minorHAnsi"/>
              </w:rPr>
            </w:pPr>
          </w:p>
        </w:tc>
      </w:tr>
      <w:tr w:rsidR="00964C5B" w:rsidTr="0026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8" w:type="dxa"/>
          <w:wAfter w:w="73" w:type="dxa"/>
        </w:trPr>
        <w:tc>
          <w:tcPr>
            <w:tcW w:w="15730" w:type="dxa"/>
            <w:gridSpan w:val="12"/>
            <w:shd w:val="clear" w:color="auto" w:fill="E60088"/>
          </w:tcPr>
          <w:p w:rsidR="00964C5B" w:rsidRPr="0055766C" w:rsidRDefault="00964C5B" w:rsidP="00964C5B">
            <w:r>
              <w:rPr>
                <w:b/>
                <w:color w:val="FFFFFF" w:themeColor="background1"/>
              </w:rPr>
              <w:lastRenderedPageBreak/>
              <w:t>What we need from you</w:t>
            </w:r>
            <w:r w:rsidRPr="00BA6900">
              <w:rPr>
                <w:b/>
                <w:color w:val="FFFFFF" w:themeColor="background1"/>
              </w:rPr>
              <w:t xml:space="preserve">  </w:t>
            </w:r>
          </w:p>
        </w:tc>
      </w:tr>
    </w:tbl>
    <w:tbl>
      <w:tblPr>
        <w:tblW w:w="15735" w:type="dxa"/>
        <w:tblInd w:w="108" w:type="dxa"/>
        <w:tblCellMar>
          <w:left w:w="0" w:type="dxa"/>
          <w:right w:w="0" w:type="dxa"/>
        </w:tblCellMar>
        <w:tblLook w:val="04A0" w:firstRow="1" w:lastRow="0" w:firstColumn="1" w:lastColumn="0" w:noHBand="0" w:noVBand="1"/>
      </w:tblPr>
      <w:tblGrid>
        <w:gridCol w:w="7371"/>
        <w:gridCol w:w="426"/>
        <w:gridCol w:w="7938"/>
      </w:tblGrid>
      <w:tr w:rsidR="00532E51" w:rsidTr="000031D8">
        <w:trPr>
          <w:trHeight w:val="20"/>
        </w:trPr>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40D0" w:rsidRPr="00FC40D0" w:rsidRDefault="00FC40D0" w:rsidP="00FC40D0">
            <w:pPr>
              <w:autoSpaceDE w:val="0"/>
              <w:autoSpaceDN w:val="0"/>
              <w:adjustRightInd w:val="0"/>
              <w:spacing w:after="0" w:line="240" w:lineRule="auto"/>
              <w:rPr>
                <w:rFonts w:cstheme="minorHAnsi"/>
                <w:color w:val="000000"/>
              </w:rPr>
            </w:pPr>
          </w:p>
          <w:p w:rsidR="00FC40D0" w:rsidRPr="00FC40D0" w:rsidRDefault="00FC40D0" w:rsidP="00FC40D0">
            <w:pPr>
              <w:autoSpaceDE w:val="0"/>
              <w:autoSpaceDN w:val="0"/>
              <w:adjustRightInd w:val="0"/>
              <w:spacing w:after="0" w:line="240" w:lineRule="auto"/>
              <w:rPr>
                <w:rFonts w:cstheme="minorHAnsi"/>
                <w:color w:val="000000"/>
              </w:rPr>
            </w:pPr>
            <w:r w:rsidRPr="00FC40D0">
              <w:rPr>
                <w:rFonts w:cstheme="minorHAnsi"/>
                <w:color w:val="000000"/>
              </w:rPr>
              <w:t xml:space="preserve">Professional social work/care, police or health related qualification; or equivalent experience in managing strategic partnership Boards. </w:t>
            </w:r>
          </w:p>
          <w:p w:rsidR="00532E51" w:rsidRPr="00FC40D0" w:rsidRDefault="00532E51" w:rsidP="00532E51">
            <w:pPr>
              <w:jc w:val="both"/>
              <w:rPr>
                <w:rFonts w:cstheme="minorHAnsi"/>
              </w:rPr>
            </w:pP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2E51" w:rsidRPr="00FC40D0" w:rsidRDefault="00532E51">
            <w:pPr>
              <w:jc w:val="both"/>
              <w:rPr>
                <w:rFonts w:cstheme="minorHAnsi"/>
              </w:rPr>
            </w:pPr>
          </w:p>
        </w:tc>
        <w:tc>
          <w:tcPr>
            <w:tcW w:w="7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2E51" w:rsidRPr="00FC40D0" w:rsidRDefault="00532E51" w:rsidP="00265D73">
            <w:pPr>
              <w:jc w:val="both"/>
              <w:rPr>
                <w:rFonts w:cstheme="minorHAnsi"/>
              </w:rPr>
            </w:pPr>
            <w:r w:rsidRPr="00FC40D0">
              <w:rPr>
                <w:rFonts w:cstheme="minorHAnsi"/>
              </w:rPr>
              <w:t>Skilled communicator who can deliver complex and technical messages with clarity, and such messages to be delivered with enthusiasm and conviction that builds trust and confidence.</w:t>
            </w:r>
            <w:r w:rsidR="00FC40D0" w:rsidRPr="00FC40D0">
              <w:rPr>
                <w:rFonts w:cstheme="minorHAnsi"/>
              </w:rPr>
              <w:t xml:space="preserve">   Excellent written and verbal communication skills, including experience of writing and presenting complex reports to senior officers and councillors.</w:t>
            </w:r>
          </w:p>
        </w:tc>
      </w:tr>
      <w:tr w:rsidR="00532E51" w:rsidTr="000031D8">
        <w:trPr>
          <w:trHeight w:val="20"/>
        </w:trPr>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E51" w:rsidRPr="00FC40D0" w:rsidRDefault="00FC40D0" w:rsidP="00FC40D0">
            <w:pPr>
              <w:jc w:val="both"/>
              <w:rPr>
                <w:rFonts w:cstheme="minorHAnsi"/>
              </w:rPr>
            </w:pPr>
            <w:r w:rsidRPr="00FC40D0">
              <w:rPr>
                <w:rFonts w:cstheme="minorHAnsi"/>
              </w:rPr>
              <w:t>Experience and demonstrable abilities and skills in working collaboratively and developing partnerships in an inter-agency environment with agencies across the health, education, voluntary sector, social care and criminal justice sectors.</w:t>
            </w:r>
          </w:p>
        </w:tc>
        <w:tc>
          <w:tcPr>
            <w:tcW w:w="426" w:type="dxa"/>
            <w:vMerge w:val="restart"/>
            <w:tcBorders>
              <w:top w:val="nil"/>
              <w:left w:val="nil"/>
              <w:bottom w:val="single" w:sz="8" w:space="0" w:color="auto"/>
              <w:right w:val="single" w:sz="8" w:space="0" w:color="auto"/>
            </w:tcBorders>
            <w:tcMar>
              <w:top w:w="0" w:type="dxa"/>
              <w:left w:w="108" w:type="dxa"/>
              <w:bottom w:w="0" w:type="dxa"/>
              <w:right w:w="108" w:type="dxa"/>
            </w:tcMar>
          </w:tcPr>
          <w:p w:rsidR="00532E51" w:rsidRPr="00FC40D0" w:rsidRDefault="00532E51">
            <w:pPr>
              <w:jc w:val="both"/>
              <w:rPr>
                <w:rFonts w:cstheme="minorHAnsi"/>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32E51" w:rsidRPr="00FC40D0" w:rsidRDefault="00532E51">
            <w:pPr>
              <w:jc w:val="both"/>
              <w:rPr>
                <w:rFonts w:cstheme="minorHAnsi"/>
              </w:rPr>
            </w:pPr>
            <w:r w:rsidRPr="00FC40D0">
              <w:rPr>
                <w:rFonts w:cstheme="minorHAnsi"/>
              </w:rPr>
              <w:t>Strategic capability in achieving outcomes and meeting the organisational priorities.</w:t>
            </w:r>
          </w:p>
        </w:tc>
      </w:tr>
      <w:tr w:rsidR="00532E51" w:rsidTr="000031D8">
        <w:trPr>
          <w:trHeight w:val="20"/>
        </w:trPr>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E51" w:rsidRPr="00FC40D0" w:rsidRDefault="00FC40D0" w:rsidP="00FC40D0">
            <w:pPr>
              <w:autoSpaceDE w:val="0"/>
              <w:autoSpaceDN w:val="0"/>
              <w:adjustRightInd w:val="0"/>
              <w:spacing w:after="0" w:line="240" w:lineRule="auto"/>
              <w:rPr>
                <w:rFonts w:cstheme="minorHAnsi"/>
                <w:color w:val="000000"/>
              </w:rPr>
            </w:pPr>
            <w:r w:rsidRPr="00FC40D0">
              <w:rPr>
                <w:rFonts w:cstheme="minorHAnsi"/>
                <w:color w:val="000000"/>
              </w:rPr>
              <w:t xml:space="preserve">Significant experience of working in a social care/health/partnership environment and adult protection services within any of the statutory board members areas i.e. Social Care, Health or Police. </w:t>
            </w:r>
          </w:p>
        </w:tc>
        <w:tc>
          <w:tcPr>
            <w:tcW w:w="426" w:type="dxa"/>
            <w:vMerge/>
            <w:tcBorders>
              <w:top w:val="nil"/>
              <w:left w:val="nil"/>
              <w:bottom w:val="single" w:sz="8" w:space="0" w:color="auto"/>
              <w:right w:val="single" w:sz="8" w:space="0" w:color="auto"/>
            </w:tcBorders>
            <w:vAlign w:val="center"/>
            <w:hideMark/>
          </w:tcPr>
          <w:p w:rsidR="00532E51" w:rsidRPr="00FC40D0" w:rsidRDefault="00532E51">
            <w:pPr>
              <w:rPr>
                <w:rFonts w:cstheme="minorHAnsi"/>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32E51" w:rsidRPr="00FC40D0" w:rsidRDefault="00532E51" w:rsidP="00532E51">
            <w:pPr>
              <w:jc w:val="both"/>
              <w:rPr>
                <w:rFonts w:cstheme="minorHAnsi"/>
              </w:rPr>
            </w:pPr>
            <w:r w:rsidRPr="00FC40D0">
              <w:rPr>
                <w:rFonts w:cstheme="minorHAnsi"/>
              </w:rPr>
              <w:t>High level negotiation skills to manage scenarios requiring a resolution.</w:t>
            </w:r>
          </w:p>
        </w:tc>
      </w:tr>
      <w:tr w:rsidR="00532E51" w:rsidTr="000031D8">
        <w:trPr>
          <w:trHeight w:val="20"/>
        </w:trPr>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E51" w:rsidRPr="00FC40D0" w:rsidRDefault="00532E51" w:rsidP="00265D73">
            <w:pPr>
              <w:jc w:val="both"/>
              <w:rPr>
                <w:rFonts w:cstheme="minorHAnsi"/>
              </w:rPr>
            </w:pPr>
            <w:r w:rsidRPr="00FC40D0">
              <w:rPr>
                <w:rFonts w:cstheme="minorHAnsi"/>
              </w:rPr>
              <w:t xml:space="preserve">Detailed up to date knowledge of </w:t>
            </w:r>
            <w:r w:rsidR="00265D73" w:rsidRPr="00FC40D0">
              <w:rPr>
                <w:rFonts w:cstheme="minorHAnsi"/>
              </w:rPr>
              <w:t xml:space="preserve">the safeguarding agenda </w:t>
            </w:r>
            <w:r w:rsidRPr="00FC40D0">
              <w:rPr>
                <w:rFonts w:cstheme="minorHAnsi"/>
              </w:rPr>
              <w:t xml:space="preserve">(legislative, regulatory, best practice guidance, clinical standards etc.) impacting on existing and future </w:t>
            </w:r>
            <w:r w:rsidR="00265D73" w:rsidRPr="00FC40D0">
              <w:rPr>
                <w:rFonts w:cstheme="minorHAnsi"/>
              </w:rPr>
              <w:t>provision and outcomes.</w:t>
            </w:r>
          </w:p>
        </w:tc>
        <w:tc>
          <w:tcPr>
            <w:tcW w:w="426" w:type="dxa"/>
            <w:vMerge/>
            <w:tcBorders>
              <w:top w:val="nil"/>
              <w:left w:val="nil"/>
              <w:bottom w:val="single" w:sz="8" w:space="0" w:color="auto"/>
              <w:right w:val="single" w:sz="8" w:space="0" w:color="auto"/>
            </w:tcBorders>
            <w:vAlign w:val="center"/>
            <w:hideMark/>
          </w:tcPr>
          <w:p w:rsidR="00532E51" w:rsidRPr="00FC40D0" w:rsidRDefault="00532E51">
            <w:pPr>
              <w:rPr>
                <w:rFonts w:cstheme="minorHAnsi"/>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32E51" w:rsidRPr="00FC40D0" w:rsidRDefault="00532E51">
            <w:pPr>
              <w:jc w:val="both"/>
              <w:rPr>
                <w:rFonts w:cstheme="minorHAnsi"/>
              </w:rPr>
            </w:pPr>
            <w:r w:rsidRPr="00FC40D0">
              <w:rPr>
                <w:rFonts w:cstheme="minorHAnsi"/>
              </w:rPr>
              <w:t>An ability to constructively challenge proposals, decisions, suggestions in such a way that recipients of the message respect, understand and consider the implications and impact of the challenge.</w:t>
            </w:r>
          </w:p>
        </w:tc>
      </w:tr>
      <w:tr w:rsidR="00AE5049" w:rsidTr="000031D8">
        <w:trPr>
          <w:trHeight w:val="20"/>
        </w:trPr>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049" w:rsidRPr="00FC40D0" w:rsidRDefault="00FC40D0" w:rsidP="00FC40D0">
            <w:pPr>
              <w:autoSpaceDE w:val="0"/>
              <w:autoSpaceDN w:val="0"/>
              <w:adjustRightInd w:val="0"/>
              <w:spacing w:after="0" w:line="240" w:lineRule="auto"/>
              <w:rPr>
                <w:rFonts w:cstheme="minorHAnsi"/>
                <w:spacing w:val="4"/>
              </w:rPr>
            </w:pPr>
            <w:r w:rsidRPr="00FC40D0">
              <w:rPr>
                <w:rFonts w:cstheme="minorHAnsi"/>
                <w:color w:val="000000"/>
              </w:rPr>
              <w:t xml:space="preserve">Experience of managing complex case-related issues as well as professional and organisational tensions including those relating to multi-agency working. </w:t>
            </w:r>
          </w:p>
        </w:tc>
        <w:tc>
          <w:tcPr>
            <w:tcW w:w="426" w:type="dxa"/>
            <w:vMerge/>
            <w:tcBorders>
              <w:top w:val="nil"/>
              <w:left w:val="nil"/>
              <w:bottom w:val="single" w:sz="8" w:space="0" w:color="auto"/>
              <w:right w:val="single" w:sz="8" w:space="0" w:color="auto"/>
            </w:tcBorders>
            <w:vAlign w:val="center"/>
            <w:hideMark/>
          </w:tcPr>
          <w:p w:rsidR="00AE5049" w:rsidRPr="00FC40D0" w:rsidRDefault="00AE5049" w:rsidP="00AE5049">
            <w:pPr>
              <w:rPr>
                <w:rFonts w:cstheme="minorHAnsi"/>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AE5049" w:rsidRPr="00FC40D0" w:rsidRDefault="00AE5049" w:rsidP="00AE5049">
            <w:pPr>
              <w:jc w:val="both"/>
              <w:rPr>
                <w:rFonts w:cstheme="minorHAnsi"/>
              </w:rPr>
            </w:pPr>
            <w:r w:rsidRPr="00FC40D0">
              <w:rPr>
                <w:rFonts w:cstheme="minorHAnsi"/>
              </w:rPr>
              <w:t>Strong influencing and stakeholder management skills and the ability to build relationships at all levels i.e. political, senior management, management and officer.</w:t>
            </w:r>
          </w:p>
        </w:tc>
      </w:tr>
      <w:tr w:rsidR="00AE5049" w:rsidTr="000031D8">
        <w:trPr>
          <w:trHeight w:val="20"/>
        </w:trPr>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049" w:rsidRPr="00FC40D0" w:rsidRDefault="00AE5049" w:rsidP="00AE5049">
            <w:pPr>
              <w:jc w:val="both"/>
              <w:rPr>
                <w:rFonts w:cstheme="minorHAnsi"/>
              </w:rPr>
            </w:pPr>
          </w:p>
        </w:tc>
        <w:tc>
          <w:tcPr>
            <w:tcW w:w="426" w:type="dxa"/>
            <w:vMerge/>
            <w:tcBorders>
              <w:top w:val="nil"/>
              <w:left w:val="nil"/>
              <w:bottom w:val="single" w:sz="8" w:space="0" w:color="auto"/>
              <w:right w:val="single" w:sz="8" w:space="0" w:color="auto"/>
            </w:tcBorders>
            <w:vAlign w:val="center"/>
            <w:hideMark/>
          </w:tcPr>
          <w:p w:rsidR="00AE5049" w:rsidRPr="00FC40D0" w:rsidRDefault="00AE5049" w:rsidP="00AE5049">
            <w:pPr>
              <w:rPr>
                <w:rFonts w:cstheme="minorHAnsi"/>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AE5049" w:rsidRPr="00FC40D0" w:rsidRDefault="00AE5049" w:rsidP="00AE5049">
            <w:pPr>
              <w:jc w:val="both"/>
              <w:rPr>
                <w:rFonts w:cstheme="minorHAnsi"/>
              </w:rPr>
            </w:pPr>
          </w:p>
        </w:tc>
      </w:tr>
      <w:tr w:rsidR="00AE5049" w:rsidTr="000031D8">
        <w:trPr>
          <w:trHeight w:val="20"/>
        </w:trPr>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049" w:rsidRPr="00FC40D0" w:rsidRDefault="00FC40D0" w:rsidP="00AE5049">
            <w:pPr>
              <w:jc w:val="both"/>
              <w:rPr>
                <w:rFonts w:cstheme="minorHAnsi"/>
              </w:rPr>
            </w:pPr>
            <w:r w:rsidRPr="00FC40D0">
              <w:rPr>
                <w:rFonts w:cstheme="minorHAnsi"/>
              </w:rPr>
              <w:t>Ability to apply creativity in solving problems, identifying new opportunities and producing innovative proposals, ideas and structures, within appropriate limits</w:t>
            </w:r>
          </w:p>
        </w:tc>
        <w:tc>
          <w:tcPr>
            <w:tcW w:w="426" w:type="dxa"/>
            <w:vMerge/>
            <w:tcBorders>
              <w:top w:val="nil"/>
              <w:left w:val="nil"/>
              <w:bottom w:val="single" w:sz="8" w:space="0" w:color="auto"/>
              <w:right w:val="single" w:sz="8" w:space="0" w:color="auto"/>
            </w:tcBorders>
            <w:vAlign w:val="center"/>
            <w:hideMark/>
          </w:tcPr>
          <w:p w:rsidR="00AE5049" w:rsidRPr="00FC40D0" w:rsidRDefault="00AE5049" w:rsidP="00AE5049">
            <w:pPr>
              <w:rPr>
                <w:rFonts w:cstheme="minorHAnsi"/>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AE5049" w:rsidRPr="00FC40D0" w:rsidRDefault="00AE5049" w:rsidP="00AE5049">
            <w:pPr>
              <w:jc w:val="both"/>
              <w:rPr>
                <w:rFonts w:cstheme="minorHAnsi"/>
              </w:rPr>
            </w:pPr>
            <w:proofErr w:type="gramStart"/>
            <w:r w:rsidRPr="00FC40D0">
              <w:rPr>
                <w:rFonts w:cstheme="minorHAnsi"/>
              </w:rPr>
              <w:t>A</w:t>
            </w:r>
            <w:proofErr w:type="gramEnd"/>
            <w:r w:rsidRPr="00FC40D0">
              <w:rPr>
                <w:rFonts w:cstheme="minorHAnsi"/>
              </w:rPr>
              <w:t xml:space="preserve"> ability to develop and deliver business plans that lead to improvements in service delivery and outcomes for people.</w:t>
            </w:r>
          </w:p>
        </w:tc>
      </w:tr>
      <w:tr w:rsidR="00AE5049" w:rsidTr="000031D8">
        <w:trPr>
          <w:trHeight w:val="20"/>
        </w:trPr>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049" w:rsidRPr="00FC40D0" w:rsidRDefault="00FC40D0" w:rsidP="00FC40D0">
            <w:pPr>
              <w:autoSpaceDE w:val="0"/>
              <w:autoSpaceDN w:val="0"/>
              <w:adjustRightInd w:val="0"/>
              <w:spacing w:after="0" w:line="240" w:lineRule="auto"/>
              <w:rPr>
                <w:rFonts w:cstheme="minorHAnsi"/>
              </w:rPr>
            </w:pPr>
            <w:r w:rsidRPr="00FC40D0">
              <w:rPr>
                <w:rFonts w:cstheme="minorHAnsi"/>
              </w:rPr>
              <w:t xml:space="preserve">Evidence of developing inter-agency protocols, which take account of the views of users and their </w:t>
            </w:r>
            <w:proofErr w:type="spellStart"/>
            <w:r w:rsidRPr="00FC40D0">
              <w:rPr>
                <w:rFonts w:cstheme="minorHAnsi"/>
              </w:rPr>
              <w:t>carers</w:t>
            </w:r>
            <w:proofErr w:type="spellEnd"/>
            <w:proofErr w:type="gramStart"/>
            <w:r w:rsidRPr="00FC40D0">
              <w:rPr>
                <w:rFonts w:cstheme="minorHAnsi"/>
              </w:rPr>
              <w:t>..</w:t>
            </w:r>
            <w:proofErr w:type="gramEnd"/>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AE5049" w:rsidRPr="00FC40D0" w:rsidRDefault="00AE5049" w:rsidP="00AE5049">
            <w:pPr>
              <w:jc w:val="both"/>
              <w:rPr>
                <w:rFonts w:cstheme="minorHAnsi"/>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AE5049" w:rsidRPr="00FC40D0" w:rsidRDefault="00754C7E" w:rsidP="00FC40D0">
            <w:pPr>
              <w:jc w:val="both"/>
              <w:rPr>
                <w:rFonts w:cstheme="minorHAnsi"/>
              </w:rPr>
            </w:pPr>
            <w:r w:rsidRPr="00FC40D0">
              <w:rPr>
                <w:rFonts w:cstheme="minorHAnsi"/>
              </w:rPr>
              <w:t xml:space="preserve">A commitment to improve outcomes for vulnerable adults and to ensure the voice of service users underpins and is central to the safeguarding agenda in Salford. </w:t>
            </w:r>
          </w:p>
        </w:tc>
      </w:tr>
    </w:tbl>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5"/>
        <w:gridCol w:w="283"/>
        <w:gridCol w:w="5043"/>
      </w:tblGrid>
      <w:tr w:rsidR="00C53BB3" w:rsidRPr="00BA6900" w:rsidTr="00E56C51">
        <w:tc>
          <w:tcPr>
            <w:tcW w:w="10595" w:type="dxa"/>
            <w:shd w:val="clear" w:color="auto" w:fill="E6007E"/>
          </w:tcPr>
          <w:p w:rsidR="00C53BB3" w:rsidRPr="00BA6900" w:rsidRDefault="00532E51" w:rsidP="00857101">
            <w:pPr>
              <w:rPr>
                <w:b/>
                <w:color w:val="FFFFFF" w:themeColor="background1"/>
              </w:rPr>
            </w:pPr>
            <w:r>
              <w:br w:type="page"/>
            </w:r>
            <w:r w:rsidR="00C53BB3">
              <w:rPr>
                <w:b/>
                <w:color w:val="FFFFFF" w:themeColor="background1"/>
              </w:rPr>
              <w:t xml:space="preserve">Our leadership behaviours </w:t>
            </w:r>
            <w:r w:rsidR="00C53BB3" w:rsidRPr="00BA6900">
              <w:rPr>
                <w:b/>
                <w:color w:val="FFFFFF" w:themeColor="background1"/>
              </w:rPr>
              <w:t xml:space="preserve"> </w:t>
            </w:r>
          </w:p>
        </w:tc>
        <w:tc>
          <w:tcPr>
            <w:tcW w:w="283" w:type="dxa"/>
          </w:tcPr>
          <w:p w:rsidR="00C53BB3" w:rsidRDefault="00C53BB3" w:rsidP="00857101"/>
        </w:tc>
        <w:tc>
          <w:tcPr>
            <w:tcW w:w="5043" w:type="dxa"/>
            <w:shd w:val="clear" w:color="auto" w:fill="E6007E"/>
          </w:tcPr>
          <w:p w:rsidR="00C53BB3" w:rsidRPr="00BA6900" w:rsidRDefault="00C53BB3" w:rsidP="00857101">
            <w:pPr>
              <w:rPr>
                <w:b/>
                <w:color w:val="FFFFFF" w:themeColor="background1"/>
              </w:rPr>
            </w:pPr>
            <w:r>
              <w:rPr>
                <w:b/>
                <w:color w:val="FFFFFF" w:themeColor="background1"/>
              </w:rPr>
              <w:t xml:space="preserve">Our values </w:t>
            </w:r>
          </w:p>
        </w:tc>
      </w:tr>
      <w:tr w:rsidR="00C53BB3" w:rsidTr="00E56C51">
        <w:tc>
          <w:tcPr>
            <w:tcW w:w="105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567"/>
              <w:gridCol w:w="4990"/>
            </w:tblGrid>
            <w:tr w:rsidR="00C53BB3" w:rsidTr="005D4257">
              <w:trPr>
                <w:trHeight w:val="4679"/>
              </w:trPr>
              <w:tc>
                <w:tcPr>
                  <w:tcW w:w="4815" w:type="dxa"/>
                </w:tcPr>
                <w:p w:rsidR="00C53BB3" w:rsidRDefault="00C53BB3" w:rsidP="002C3992">
                  <w:pPr>
                    <w:jc w:val="both"/>
                  </w:pPr>
                </w:p>
                <w:p w:rsidR="00C53BB3" w:rsidRPr="003878F6" w:rsidRDefault="00C53BB3" w:rsidP="002C3992">
                  <w:pPr>
                    <w:jc w:val="both"/>
                    <w:rPr>
                      <w:b/>
                    </w:rPr>
                  </w:pPr>
                  <w:r w:rsidRPr="003878F6">
                    <w:rPr>
                      <w:b/>
                    </w:rPr>
                    <w:t>As a values-based leader you will:</w:t>
                  </w:r>
                </w:p>
                <w:p w:rsidR="00C53BB3" w:rsidRDefault="00C53BB3" w:rsidP="002C3992">
                  <w:pPr>
                    <w:jc w:val="both"/>
                  </w:pPr>
                </w:p>
                <w:p w:rsidR="00C53BB3" w:rsidRPr="00FE05F0" w:rsidRDefault="00C53BB3" w:rsidP="003878F6">
                  <w:pPr>
                    <w:pStyle w:val="ListParagraph"/>
                    <w:numPr>
                      <w:ilvl w:val="0"/>
                      <w:numId w:val="4"/>
                    </w:numPr>
                    <w:jc w:val="both"/>
                    <w:rPr>
                      <w:b/>
                    </w:rPr>
                  </w:pPr>
                  <w:r w:rsidRPr="00FE05F0">
                    <w:rPr>
                      <w:b/>
                    </w:rPr>
                    <w:t>Model the values and embed them in the way your team delivers services</w:t>
                  </w:r>
                </w:p>
                <w:p w:rsidR="00C53BB3" w:rsidRPr="00FE05F0" w:rsidRDefault="00C53BB3" w:rsidP="003878F6">
                  <w:pPr>
                    <w:pStyle w:val="ListParagraph"/>
                    <w:numPr>
                      <w:ilvl w:val="0"/>
                      <w:numId w:val="4"/>
                    </w:numPr>
                    <w:jc w:val="both"/>
                    <w:rPr>
                      <w:b/>
                    </w:rPr>
                  </w:pPr>
                  <w:r w:rsidRPr="00FE05F0">
                    <w:rPr>
                      <w:b/>
                    </w:rPr>
                    <w:t>Hold people accountable for delivering the values</w:t>
                  </w:r>
                </w:p>
                <w:p w:rsidR="00C53BB3" w:rsidRPr="00FE05F0" w:rsidRDefault="00C53BB3" w:rsidP="003878F6">
                  <w:pPr>
                    <w:pStyle w:val="ListParagraph"/>
                    <w:numPr>
                      <w:ilvl w:val="0"/>
                      <w:numId w:val="4"/>
                    </w:numPr>
                    <w:jc w:val="both"/>
                    <w:rPr>
                      <w:b/>
                    </w:rPr>
                  </w:pPr>
                  <w:r w:rsidRPr="00FE05F0">
                    <w:rPr>
                      <w:b/>
                    </w:rPr>
                    <w:t>Respect and care for others, treating everyone fairly, recognising the importance of ensuring equality of opportunity for all, and listening and acting on the things people say</w:t>
                  </w:r>
                </w:p>
                <w:p w:rsidR="00C53BB3" w:rsidRPr="00FE05F0" w:rsidRDefault="00C53BB3" w:rsidP="003878F6">
                  <w:pPr>
                    <w:pStyle w:val="ListParagraph"/>
                    <w:numPr>
                      <w:ilvl w:val="0"/>
                      <w:numId w:val="4"/>
                    </w:numPr>
                    <w:jc w:val="both"/>
                    <w:rPr>
                      <w:b/>
                    </w:rPr>
                  </w:pPr>
                  <w:r w:rsidRPr="00FE05F0">
                    <w:rPr>
                      <w:b/>
                    </w:rPr>
                    <w:t>Be honest, taking responsibility for your actions and decisions</w:t>
                  </w:r>
                </w:p>
                <w:p w:rsidR="00C53BB3" w:rsidRDefault="00C53BB3" w:rsidP="003878F6">
                  <w:pPr>
                    <w:pStyle w:val="ListParagraph"/>
                    <w:numPr>
                      <w:ilvl w:val="0"/>
                      <w:numId w:val="4"/>
                    </w:numPr>
                    <w:jc w:val="both"/>
                  </w:pPr>
                  <w:r w:rsidRPr="00FE05F0">
                    <w:rPr>
                      <w:b/>
                    </w:rPr>
                    <w:t>Use resources that you are trusted with wisely</w:t>
                  </w:r>
                </w:p>
              </w:tc>
              <w:tc>
                <w:tcPr>
                  <w:tcW w:w="567" w:type="dxa"/>
                </w:tcPr>
                <w:p w:rsidR="00C53BB3" w:rsidRDefault="00C53BB3" w:rsidP="002C3992">
                  <w:pPr>
                    <w:jc w:val="both"/>
                  </w:pPr>
                </w:p>
              </w:tc>
              <w:tc>
                <w:tcPr>
                  <w:tcW w:w="4990" w:type="dxa"/>
                </w:tcPr>
                <w:p w:rsidR="00C53BB3" w:rsidRDefault="00C53BB3" w:rsidP="002C3992">
                  <w:pPr>
                    <w:jc w:val="both"/>
                  </w:pPr>
                </w:p>
                <w:p w:rsidR="00C53BB3" w:rsidRPr="003878F6" w:rsidRDefault="00C53BB3" w:rsidP="002C3992">
                  <w:pPr>
                    <w:jc w:val="both"/>
                    <w:rPr>
                      <w:b/>
                    </w:rPr>
                  </w:pPr>
                  <w:r w:rsidRPr="003878F6">
                    <w:rPr>
                      <w:b/>
                    </w:rPr>
                    <w:t>To lead and develop people you will:</w:t>
                  </w:r>
                </w:p>
                <w:p w:rsidR="00C53BB3" w:rsidRDefault="00C53BB3" w:rsidP="002C3992">
                  <w:pPr>
                    <w:jc w:val="both"/>
                  </w:pPr>
                </w:p>
                <w:p w:rsidR="00C53BB3" w:rsidRPr="00FE05F0" w:rsidRDefault="00C53BB3" w:rsidP="003878F6">
                  <w:pPr>
                    <w:pStyle w:val="ListParagraph"/>
                    <w:numPr>
                      <w:ilvl w:val="0"/>
                      <w:numId w:val="5"/>
                    </w:numPr>
                    <w:jc w:val="both"/>
                    <w:rPr>
                      <w:b/>
                    </w:rPr>
                  </w:pPr>
                  <w:r w:rsidRPr="00FE05F0">
                    <w:rPr>
                      <w:b/>
                    </w:rPr>
                    <w:t>Listen to understand, not to defend</w:t>
                  </w:r>
                </w:p>
                <w:p w:rsidR="00C53BB3" w:rsidRPr="00FE05F0" w:rsidRDefault="00C53BB3" w:rsidP="003878F6">
                  <w:pPr>
                    <w:pStyle w:val="ListParagraph"/>
                    <w:numPr>
                      <w:ilvl w:val="0"/>
                      <w:numId w:val="5"/>
                    </w:numPr>
                    <w:jc w:val="both"/>
                    <w:rPr>
                      <w:b/>
                    </w:rPr>
                  </w:pPr>
                  <w:r w:rsidRPr="00FE05F0">
                    <w:rPr>
                      <w:b/>
                    </w:rPr>
                    <w:t>Give people the freedom to use their initiative</w:t>
                  </w:r>
                </w:p>
                <w:p w:rsidR="00C53BB3" w:rsidRPr="00FE05F0" w:rsidRDefault="00C53BB3" w:rsidP="003878F6">
                  <w:pPr>
                    <w:pStyle w:val="ListParagraph"/>
                    <w:numPr>
                      <w:ilvl w:val="0"/>
                      <w:numId w:val="5"/>
                    </w:numPr>
                    <w:jc w:val="both"/>
                    <w:rPr>
                      <w:b/>
                    </w:rPr>
                  </w:pPr>
                  <w:r w:rsidRPr="00FE05F0">
                    <w:rPr>
                      <w:b/>
                    </w:rPr>
                    <w:t>Provide opportunities for people to discuss and solve problems and issues</w:t>
                  </w:r>
                </w:p>
                <w:p w:rsidR="00C53BB3" w:rsidRPr="00FE05F0" w:rsidRDefault="00C53BB3" w:rsidP="003878F6">
                  <w:pPr>
                    <w:pStyle w:val="ListParagraph"/>
                    <w:numPr>
                      <w:ilvl w:val="0"/>
                      <w:numId w:val="5"/>
                    </w:numPr>
                    <w:jc w:val="both"/>
                    <w:rPr>
                      <w:b/>
                    </w:rPr>
                  </w:pPr>
                  <w:r w:rsidRPr="00FE05F0">
                    <w:rPr>
                      <w:b/>
                    </w:rPr>
                    <w:t>Regularly provide coaching and support to others to help them achieve their objectives and potential</w:t>
                  </w:r>
                </w:p>
                <w:p w:rsidR="00C53BB3" w:rsidRPr="00FE05F0" w:rsidRDefault="00C53BB3" w:rsidP="003878F6">
                  <w:pPr>
                    <w:pStyle w:val="ListParagraph"/>
                    <w:numPr>
                      <w:ilvl w:val="0"/>
                      <w:numId w:val="5"/>
                    </w:numPr>
                    <w:jc w:val="both"/>
                    <w:rPr>
                      <w:b/>
                    </w:rPr>
                  </w:pPr>
                  <w:r w:rsidRPr="00FE05F0">
                    <w:rPr>
                      <w:b/>
                    </w:rPr>
                    <w:t>Appreciate and build on people’s strengths</w:t>
                  </w:r>
                </w:p>
                <w:p w:rsidR="00C53BB3" w:rsidRDefault="00C53BB3" w:rsidP="003878F6">
                  <w:pPr>
                    <w:pStyle w:val="ListParagraph"/>
                    <w:numPr>
                      <w:ilvl w:val="0"/>
                      <w:numId w:val="5"/>
                    </w:numPr>
                    <w:jc w:val="both"/>
                  </w:pPr>
                  <w:r w:rsidRPr="00FE05F0">
                    <w:rPr>
                      <w:b/>
                    </w:rPr>
                    <w:t>Motivate, engage, encourage and inspire others in order to be the best they can be</w:t>
                  </w:r>
                </w:p>
              </w:tc>
            </w:tr>
            <w:tr w:rsidR="00C53BB3" w:rsidTr="005D4257">
              <w:trPr>
                <w:trHeight w:val="5169"/>
              </w:trPr>
              <w:tc>
                <w:tcPr>
                  <w:tcW w:w="4815" w:type="dxa"/>
                </w:tcPr>
                <w:p w:rsidR="00C53BB3" w:rsidRPr="00FE05F0" w:rsidRDefault="00C53BB3" w:rsidP="002C3992">
                  <w:pPr>
                    <w:jc w:val="both"/>
                    <w:rPr>
                      <w:b/>
                    </w:rPr>
                  </w:pPr>
                  <w:r w:rsidRPr="00FE05F0">
                    <w:rPr>
                      <w:b/>
                    </w:rPr>
                    <w:lastRenderedPageBreak/>
                    <w:t>To create a performance and development culture you will:</w:t>
                  </w:r>
                </w:p>
                <w:p w:rsidR="00C53BB3" w:rsidRDefault="00C53BB3" w:rsidP="002C3992">
                  <w:pPr>
                    <w:jc w:val="both"/>
                  </w:pPr>
                </w:p>
                <w:p w:rsidR="00C53BB3" w:rsidRPr="00FE05F0" w:rsidRDefault="00C53BB3" w:rsidP="003878F6">
                  <w:pPr>
                    <w:pStyle w:val="ListParagraph"/>
                    <w:numPr>
                      <w:ilvl w:val="0"/>
                      <w:numId w:val="6"/>
                    </w:numPr>
                    <w:jc w:val="both"/>
                    <w:rPr>
                      <w:b/>
                    </w:rPr>
                  </w:pPr>
                  <w:r w:rsidRPr="00FE05F0">
                    <w:rPr>
                      <w:b/>
                    </w:rPr>
                    <w:t>Be visible, inject pace, vigour and purpose</w:t>
                  </w:r>
                </w:p>
                <w:p w:rsidR="00C53BB3" w:rsidRPr="00FE05F0" w:rsidRDefault="00C53BB3" w:rsidP="003878F6">
                  <w:pPr>
                    <w:pStyle w:val="ListParagraph"/>
                    <w:numPr>
                      <w:ilvl w:val="0"/>
                      <w:numId w:val="6"/>
                    </w:numPr>
                    <w:jc w:val="both"/>
                    <w:rPr>
                      <w:b/>
                    </w:rPr>
                  </w:pPr>
                  <w:r w:rsidRPr="00FE05F0">
                    <w:rPr>
                      <w:b/>
                    </w:rPr>
                    <w:t>Expect high standards; mediocrity is not acceptable</w:t>
                  </w:r>
                </w:p>
                <w:p w:rsidR="00C53BB3" w:rsidRPr="00FE05F0" w:rsidRDefault="00C53BB3" w:rsidP="003878F6">
                  <w:pPr>
                    <w:pStyle w:val="ListParagraph"/>
                    <w:numPr>
                      <w:ilvl w:val="0"/>
                      <w:numId w:val="6"/>
                    </w:numPr>
                    <w:jc w:val="both"/>
                    <w:rPr>
                      <w:b/>
                    </w:rPr>
                  </w:pPr>
                  <w:r w:rsidRPr="00FE05F0">
                    <w:rPr>
                      <w:b/>
                    </w:rPr>
                    <w:t>Take an evidence and whole system approach in making decisions</w:t>
                  </w:r>
                </w:p>
                <w:p w:rsidR="00C53BB3" w:rsidRPr="00FE05F0" w:rsidRDefault="00C53BB3" w:rsidP="003878F6">
                  <w:pPr>
                    <w:pStyle w:val="ListParagraph"/>
                    <w:numPr>
                      <w:ilvl w:val="0"/>
                      <w:numId w:val="6"/>
                    </w:numPr>
                    <w:jc w:val="both"/>
                    <w:rPr>
                      <w:b/>
                    </w:rPr>
                  </w:pPr>
                  <w:r w:rsidRPr="00FE05F0">
                    <w:rPr>
                      <w:b/>
                    </w:rPr>
                    <w:t>Maximise technology and models to deliver quicker, easier, better services</w:t>
                  </w:r>
                </w:p>
                <w:p w:rsidR="00C53BB3" w:rsidRPr="00FE05F0" w:rsidRDefault="00C53BB3" w:rsidP="003878F6">
                  <w:pPr>
                    <w:pStyle w:val="ListParagraph"/>
                    <w:numPr>
                      <w:ilvl w:val="0"/>
                      <w:numId w:val="6"/>
                    </w:numPr>
                    <w:jc w:val="both"/>
                    <w:rPr>
                      <w:b/>
                    </w:rPr>
                  </w:pPr>
                  <w:r w:rsidRPr="00FE05F0">
                    <w:rPr>
                      <w:b/>
                    </w:rPr>
                    <w:t>Have a digital mindset, fully utilising digital systems and solutions to deliver services differently</w:t>
                  </w:r>
                </w:p>
                <w:p w:rsidR="00C53BB3" w:rsidRDefault="00C53BB3" w:rsidP="003878F6">
                  <w:pPr>
                    <w:pStyle w:val="ListParagraph"/>
                    <w:numPr>
                      <w:ilvl w:val="0"/>
                      <w:numId w:val="6"/>
                    </w:numPr>
                    <w:jc w:val="both"/>
                  </w:pPr>
                  <w:r w:rsidRPr="00FE05F0">
                    <w:rPr>
                      <w:b/>
                    </w:rPr>
                    <w:t>Set context and challenging goals that will motivate people to take ownership, maximise performance, and develop</w:t>
                  </w:r>
                </w:p>
              </w:tc>
              <w:tc>
                <w:tcPr>
                  <w:tcW w:w="567" w:type="dxa"/>
                </w:tcPr>
                <w:p w:rsidR="00C53BB3" w:rsidRDefault="00C53BB3" w:rsidP="002C3992">
                  <w:pPr>
                    <w:jc w:val="both"/>
                  </w:pPr>
                </w:p>
              </w:tc>
              <w:tc>
                <w:tcPr>
                  <w:tcW w:w="4990" w:type="dxa"/>
                </w:tcPr>
                <w:p w:rsidR="00C53BB3" w:rsidRPr="00FE05F0" w:rsidRDefault="00C53BB3" w:rsidP="002C3992">
                  <w:pPr>
                    <w:jc w:val="both"/>
                    <w:rPr>
                      <w:b/>
                    </w:rPr>
                  </w:pPr>
                  <w:r w:rsidRPr="00FE05F0">
                    <w:rPr>
                      <w:b/>
                    </w:rPr>
                    <w:t>To build and communicate a vision for the future you will:</w:t>
                  </w:r>
                </w:p>
                <w:p w:rsidR="00C53BB3" w:rsidRDefault="00C53BB3" w:rsidP="002C3992">
                  <w:pPr>
                    <w:jc w:val="both"/>
                  </w:pPr>
                </w:p>
                <w:p w:rsidR="00C53BB3" w:rsidRPr="00FE05F0" w:rsidRDefault="00C53BB3" w:rsidP="00FE05F0">
                  <w:pPr>
                    <w:pStyle w:val="ListParagraph"/>
                    <w:numPr>
                      <w:ilvl w:val="0"/>
                      <w:numId w:val="7"/>
                    </w:numPr>
                    <w:jc w:val="both"/>
                    <w:rPr>
                      <w:b/>
                    </w:rPr>
                  </w:pPr>
                  <w:r w:rsidRPr="00FE05F0">
                    <w:rPr>
                      <w:b/>
                    </w:rPr>
                    <w:t>Be optimistic and ambitious for the city and its people, helping others to understand the need to transform public services</w:t>
                  </w:r>
                </w:p>
                <w:p w:rsidR="00C53BB3" w:rsidRPr="00FE05F0" w:rsidRDefault="00C53BB3" w:rsidP="00FE05F0">
                  <w:pPr>
                    <w:pStyle w:val="ListParagraph"/>
                    <w:numPr>
                      <w:ilvl w:val="0"/>
                      <w:numId w:val="7"/>
                    </w:numPr>
                    <w:jc w:val="both"/>
                    <w:rPr>
                      <w:b/>
                    </w:rPr>
                  </w:pPr>
                  <w:r w:rsidRPr="00FE05F0">
                    <w:rPr>
                      <w:b/>
                    </w:rPr>
                    <w:t>Build strong collaborative relationships to find creative ways to make services more sustainable and flexible</w:t>
                  </w:r>
                </w:p>
                <w:p w:rsidR="00C53BB3" w:rsidRPr="00FE05F0" w:rsidRDefault="00C53BB3" w:rsidP="00FE05F0">
                  <w:pPr>
                    <w:pStyle w:val="ListParagraph"/>
                    <w:numPr>
                      <w:ilvl w:val="0"/>
                      <w:numId w:val="7"/>
                    </w:numPr>
                    <w:jc w:val="both"/>
                    <w:rPr>
                      <w:b/>
                    </w:rPr>
                  </w:pPr>
                  <w:r w:rsidRPr="00FE05F0">
                    <w:rPr>
                      <w:b/>
                    </w:rPr>
                    <w:t>Recognise and values the strengths of people and places, taking a strengths-based approach to make the most of opportunities</w:t>
                  </w:r>
                </w:p>
                <w:p w:rsidR="00C53BB3" w:rsidRPr="00FE05F0" w:rsidRDefault="00C53BB3" w:rsidP="00FE05F0">
                  <w:pPr>
                    <w:pStyle w:val="ListParagraph"/>
                    <w:numPr>
                      <w:ilvl w:val="0"/>
                      <w:numId w:val="7"/>
                    </w:numPr>
                    <w:jc w:val="both"/>
                    <w:rPr>
                      <w:b/>
                    </w:rPr>
                  </w:pPr>
                  <w:r w:rsidRPr="00FE05F0">
                    <w:rPr>
                      <w:b/>
                    </w:rPr>
                    <w:t>Support people through change, in undertaking new things, and taking risks</w:t>
                  </w:r>
                </w:p>
                <w:p w:rsidR="00C53BB3" w:rsidRPr="00FE05F0" w:rsidRDefault="00C53BB3" w:rsidP="00FE05F0">
                  <w:pPr>
                    <w:pStyle w:val="ListParagraph"/>
                    <w:numPr>
                      <w:ilvl w:val="0"/>
                      <w:numId w:val="7"/>
                    </w:numPr>
                    <w:jc w:val="both"/>
                    <w:rPr>
                      <w:b/>
                    </w:rPr>
                  </w:pPr>
                  <w:r w:rsidRPr="00FE05F0">
                    <w:rPr>
                      <w:b/>
                    </w:rPr>
                    <w:t>Take a place and whole system approach in designing, delivering and leading services</w:t>
                  </w:r>
                </w:p>
                <w:p w:rsidR="00C53BB3" w:rsidRDefault="00C53BB3" w:rsidP="00FE05F0">
                  <w:pPr>
                    <w:pStyle w:val="ListParagraph"/>
                    <w:numPr>
                      <w:ilvl w:val="0"/>
                      <w:numId w:val="7"/>
                    </w:numPr>
                    <w:jc w:val="both"/>
                  </w:pPr>
                  <w:r w:rsidRPr="00FE05F0">
                    <w:rPr>
                      <w:b/>
                    </w:rPr>
                    <w:t>Ensure an inclusive approach with the aim of reflecting the increasing diversity of Salford</w:t>
                  </w:r>
                </w:p>
              </w:tc>
            </w:tr>
          </w:tbl>
          <w:p w:rsidR="00C53BB3" w:rsidRDefault="00C53BB3" w:rsidP="00857101">
            <w:pPr>
              <w:jc w:val="both"/>
            </w:pPr>
          </w:p>
        </w:tc>
        <w:tc>
          <w:tcPr>
            <w:tcW w:w="283" w:type="dxa"/>
          </w:tcPr>
          <w:p w:rsidR="00C53BB3" w:rsidRDefault="00C53BB3" w:rsidP="00857101">
            <w:pPr>
              <w:rPr>
                <w:noProof/>
                <w:lang w:eastAsia="en-GB"/>
              </w:rPr>
            </w:pPr>
          </w:p>
        </w:tc>
        <w:tc>
          <w:tcPr>
            <w:tcW w:w="5043" w:type="dxa"/>
          </w:tcPr>
          <w:p w:rsidR="00C53BB3" w:rsidRDefault="00C53BB3" w:rsidP="00857101">
            <w:pPr>
              <w:jc w:val="both"/>
              <w:rPr>
                <w:noProof/>
                <w:lang w:eastAsia="en-GB"/>
              </w:rPr>
            </w:pPr>
          </w:p>
          <w:p w:rsidR="00C53BB3" w:rsidRDefault="00C53BB3" w:rsidP="003B0DB9">
            <w:pPr>
              <w:jc w:val="center"/>
            </w:pPr>
            <w:r w:rsidRPr="005F49E6">
              <w:rPr>
                <w:noProof/>
                <w:lang w:eastAsia="en-GB"/>
              </w:rPr>
              <w:lastRenderedPageBreak/>
              <w:drawing>
                <wp:inline distT="0" distB="0" distL="0" distR="0">
                  <wp:extent cx="2287270" cy="6390886"/>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32860" t="18022" r="50941" b="1663"/>
                          <a:stretch>
                            <a:fillRect/>
                          </a:stretch>
                        </pic:blipFill>
                        <pic:spPr bwMode="auto">
                          <a:xfrm>
                            <a:off x="0" y="0"/>
                            <a:ext cx="2287270" cy="6390886"/>
                          </a:xfrm>
                          <a:prstGeom prst="rect">
                            <a:avLst/>
                          </a:prstGeom>
                          <a:noFill/>
                          <a:ln w="9525">
                            <a:noFill/>
                            <a:miter lim="800000"/>
                            <a:headEnd/>
                            <a:tailEnd/>
                          </a:ln>
                        </pic:spPr>
                      </pic:pic>
                    </a:graphicData>
                  </a:graphic>
                </wp:inline>
              </w:drawing>
            </w:r>
          </w:p>
        </w:tc>
      </w:tr>
    </w:tbl>
    <w:p w:rsidR="00C43174" w:rsidRDefault="00C43174" w:rsidP="005F49E6"/>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BA6900" w:rsidTr="00F06ED0">
        <w:tc>
          <w:tcPr>
            <w:tcW w:w="15921" w:type="dxa"/>
            <w:shd w:val="clear" w:color="auto" w:fill="E6007E"/>
          </w:tcPr>
          <w:p w:rsidR="00C43174" w:rsidRPr="00BA6900" w:rsidRDefault="00C43174" w:rsidP="00FA17DB">
            <w:pPr>
              <w:rPr>
                <w:b/>
                <w:color w:val="FFFFFF" w:themeColor="background1"/>
              </w:rPr>
            </w:pPr>
            <w:r w:rsidRPr="00C43174">
              <w:rPr>
                <w:b/>
                <w:color w:val="FFFFFF" w:themeColor="background1"/>
              </w:rPr>
              <w:t xml:space="preserve">Application </w:t>
            </w:r>
            <w:r w:rsidR="00FA17DB">
              <w:rPr>
                <w:b/>
                <w:color w:val="FFFFFF" w:themeColor="background1"/>
              </w:rPr>
              <w:t>g</w:t>
            </w:r>
            <w:r w:rsidRPr="00C43174">
              <w:rPr>
                <w:b/>
                <w:color w:val="FFFFFF" w:themeColor="background1"/>
              </w:rPr>
              <w:t>uidance</w:t>
            </w:r>
          </w:p>
        </w:tc>
      </w:tr>
    </w:tbl>
    <w:p w:rsidR="00C43174" w:rsidRDefault="00C43174" w:rsidP="00C43174">
      <w:pPr>
        <w:spacing w:after="0" w:line="240" w:lineRule="auto"/>
        <w:rPr>
          <w:rFonts w:ascii="Arial" w:eastAsia="Times New Roman" w:hAnsi="Arial" w:cs="Arial"/>
          <w:sz w:val="24"/>
          <w:szCs w:val="24"/>
          <w:lang w:eastAsia="en-GB"/>
        </w:rPr>
      </w:pPr>
    </w:p>
    <w:p w:rsidR="00C43174" w:rsidRPr="00C43174" w:rsidRDefault="00C43174" w:rsidP="00C43174">
      <w:pPr>
        <w:spacing w:after="0" w:line="240" w:lineRule="auto"/>
        <w:jc w:val="both"/>
      </w:pPr>
      <w:r w:rsidRPr="00C43174">
        <w:t>We are a values based organisation so reflecting our values or a values based approach in your evidence will support your application.</w:t>
      </w:r>
    </w:p>
    <w:p w:rsidR="00C43174" w:rsidRDefault="00C43174" w:rsidP="00C43174">
      <w:pPr>
        <w:spacing w:after="0" w:line="240" w:lineRule="auto"/>
        <w:jc w:val="both"/>
      </w:pPr>
    </w:p>
    <w:p w:rsidR="00C43174" w:rsidRDefault="00C43174" w:rsidP="00C43174">
      <w:pPr>
        <w:spacing w:after="0" w:line="240" w:lineRule="auto"/>
        <w:jc w:val="both"/>
      </w:pPr>
      <w:r w:rsidRPr="00C43174">
        <w:t>The ‘Key outcomes’</w:t>
      </w:r>
      <w:r w:rsidR="00FA17DB">
        <w:t xml:space="preserve">, </w:t>
      </w:r>
      <w:r w:rsidRPr="00C43174">
        <w:t>‘What we need from you’</w:t>
      </w:r>
      <w:r w:rsidR="00FA17DB">
        <w:t xml:space="preserve"> and ‘our leadership behaviours’</w:t>
      </w:r>
      <w:r w:rsidRPr="00C43174">
        <w:t xml:space="preserve"> sections of the Role Profile are there to give you an understanding of what we would like to see reflected in your application. Don’t give up if you are not able to reflect all of these in your application. </w:t>
      </w:r>
    </w:p>
    <w:p w:rsidR="00C43174" w:rsidRDefault="00C43174"/>
    <w:p w:rsidR="00C43174" w:rsidRDefault="00C43174"/>
    <w:p w:rsidR="00D24D32" w:rsidRDefault="00D24D32" w:rsidP="005F49E6"/>
    <w:sectPr w:rsidR="00D24D32" w:rsidSect="006502DF">
      <w:headerReference w:type="even" r:id="rId17"/>
      <w:headerReference w:type="default" r:id="rId18"/>
      <w:headerReference w:type="first" r:id="rId19"/>
      <w:pgSz w:w="16838" w:h="11906" w:orient="landscape"/>
      <w:pgMar w:top="567" w:right="567" w:bottom="24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5C" w:rsidRDefault="00590E5C" w:rsidP="00C84CCD">
      <w:pPr>
        <w:spacing w:after="0" w:line="240" w:lineRule="auto"/>
      </w:pPr>
      <w:r>
        <w:separator/>
      </w:r>
    </w:p>
  </w:endnote>
  <w:endnote w:type="continuationSeparator" w:id="0">
    <w:p w:rsidR="00590E5C" w:rsidRDefault="00590E5C"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5C" w:rsidRDefault="00590E5C" w:rsidP="00C84CCD">
      <w:pPr>
        <w:spacing w:after="0" w:line="240" w:lineRule="auto"/>
      </w:pPr>
      <w:r>
        <w:separator/>
      </w:r>
    </w:p>
  </w:footnote>
  <w:footnote w:type="continuationSeparator" w:id="0">
    <w:p w:rsidR="00590E5C" w:rsidRDefault="00590E5C"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830" w:rsidRDefault="00BD2F3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830" w:rsidRDefault="00BD2F3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9570" o:spid="_x0000_s2051" type="#_x0000_t75" style="position:absolute;margin-left:0;margin-top:0;width:451.25pt;height:355.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830" w:rsidRDefault="00BD2F3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3"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D13719C"/>
    <w:multiLevelType w:val="hybridMultilevel"/>
    <w:tmpl w:val="95DEE0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50E14"/>
    <w:multiLevelType w:val="hybridMultilevel"/>
    <w:tmpl w:val="425E640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F12A4"/>
    <w:multiLevelType w:val="hybridMultilevel"/>
    <w:tmpl w:val="E3B2E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3"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8D59D8"/>
    <w:multiLevelType w:val="hybridMultilevel"/>
    <w:tmpl w:val="A42CC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10"/>
  </w:num>
  <w:num w:numId="4">
    <w:abstractNumId w:val="9"/>
  </w:num>
  <w:num w:numId="5">
    <w:abstractNumId w:val="0"/>
  </w:num>
  <w:num w:numId="6">
    <w:abstractNumId w:val="5"/>
  </w:num>
  <w:num w:numId="7">
    <w:abstractNumId w:val="7"/>
  </w:num>
  <w:num w:numId="8">
    <w:abstractNumId w:val="2"/>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12"/>
  </w:num>
  <w:num w:numId="12">
    <w:abstractNumId w:val="8"/>
  </w:num>
  <w:num w:numId="13">
    <w:abstractNumId w:val="1"/>
  </w:num>
  <w:num w:numId="14">
    <w:abstractNumId w:val="4"/>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31D8"/>
    <w:rsid w:val="00005235"/>
    <w:rsid w:val="00006E26"/>
    <w:rsid w:val="00013038"/>
    <w:rsid w:val="00014FD7"/>
    <w:rsid w:val="000159C3"/>
    <w:rsid w:val="00016322"/>
    <w:rsid w:val="00020D9C"/>
    <w:rsid w:val="00020EE6"/>
    <w:rsid w:val="00021838"/>
    <w:rsid w:val="0002290D"/>
    <w:rsid w:val="00023790"/>
    <w:rsid w:val="00025671"/>
    <w:rsid w:val="00026DF2"/>
    <w:rsid w:val="000314DB"/>
    <w:rsid w:val="00032607"/>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D77F1"/>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ABB"/>
    <w:rsid w:val="00127F55"/>
    <w:rsid w:val="00130BFF"/>
    <w:rsid w:val="0013195E"/>
    <w:rsid w:val="0013476E"/>
    <w:rsid w:val="00135411"/>
    <w:rsid w:val="00136C99"/>
    <w:rsid w:val="0013746E"/>
    <w:rsid w:val="00141136"/>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2167"/>
    <w:rsid w:val="0017320F"/>
    <w:rsid w:val="00175D57"/>
    <w:rsid w:val="0017651F"/>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56A2"/>
    <w:rsid w:val="00197048"/>
    <w:rsid w:val="001A0067"/>
    <w:rsid w:val="001A14E5"/>
    <w:rsid w:val="001A1DFF"/>
    <w:rsid w:val="001A45C0"/>
    <w:rsid w:val="001A48BB"/>
    <w:rsid w:val="001A5114"/>
    <w:rsid w:val="001A7D7A"/>
    <w:rsid w:val="001C0267"/>
    <w:rsid w:val="001C044A"/>
    <w:rsid w:val="001C2A5D"/>
    <w:rsid w:val="001C2B52"/>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5D73"/>
    <w:rsid w:val="0026790D"/>
    <w:rsid w:val="00267B78"/>
    <w:rsid w:val="0027125F"/>
    <w:rsid w:val="002776AA"/>
    <w:rsid w:val="00281466"/>
    <w:rsid w:val="00282274"/>
    <w:rsid w:val="002837D4"/>
    <w:rsid w:val="00285A5D"/>
    <w:rsid w:val="00286764"/>
    <w:rsid w:val="00287CE6"/>
    <w:rsid w:val="002933F4"/>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32C"/>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2DE6"/>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30"/>
    <w:rsid w:val="003878F6"/>
    <w:rsid w:val="00390927"/>
    <w:rsid w:val="0039373D"/>
    <w:rsid w:val="00394E6E"/>
    <w:rsid w:val="00396F76"/>
    <w:rsid w:val="003971CA"/>
    <w:rsid w:val="003975E0"/>
    <w:rsid w:val="003A06BF"/>
    <w:rsid w:val="003A2A24"/>
    <w:rsid w:val="003A3923"/>
    <w:rsid w:val="003A39D2"/>
    <w:rsid w:val="003A3CBE"/>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5863"/>
    <w:rsid w:val="00515885"/>
    <w:rsid w:val="00515E24"/>
    <w:rsid w:val="00523E9C"/>
    <w:rsid w:val="00524343"/>
    <w:rsid w:val="00525541"/>
    <w:rsid w:val="0052588D"/>
    <w:rsid w:val="00526D78"/>
    <w:rsid w:val="00527DF7"/>
    <w:rsid w:val="00530068"/>
    <w:rsid w:val="00531E18"/>
    <w:rsid w:val="00532E51"/>
    <w:rsid w:val="005334A8"/>
    <w:rsid w:val="005405D4"/>
    <w:rsid w:val="00540DB4"/>
    <w:rsid w:val="00543150"/>
    <w:rsid w:val="00543523"/>
    <w:rsid w:val="00544E38"/>
    <w:rsid w:val="00546373"/>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E5C"/>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D0F69"/>
    <w:rsid w:val="005D141C"/>
    <w:rsid w:val="005D213E"/>
    <w:rsid w:val="005D3391"/>
    <w:rsid w:val="005D363E"/>
    <w:rsid w:val="005D4257"/>
    <w:rsid w:val="005D5B20"/>
    <w:rsid w:val="005D7934"/>
    <w:rsid w:val="005D7FCF"/>
    <w:rsid w:val="005E10F9"/>
    <w:rsid w:val="005E4989"/>
    <w:rsid w:val="005E69F8"/>
    <w:rsid w:val="005F16B3"/>
    <w:rsid w:val="005F2DC0"/>
    <w:rsid w:val="005F390E"/>
    <w:rsid w:val="005F49E6"/>
    <w:rsid w:val="005F714D"/>
    <w:rsid w:val="005F73AA"/>
    <w:rsid w:val="00600BF7"/>
    <w:rsid w:val="00601AD0"/>
    <w:rsid w:val="00602C0D"/>
    <w:rsid w:val="00603DD1"/>
    <w:rsid w:val="00605000"/>
    <w:rsid w:val="00605EB5"/>
    <w:rsid w:val="00610F8D"/>
    <w:rsid w:val="00612D7F"/>
    <w:rsid w:val="00614909"/>
    <w:rsid w:val="00615CDD"/>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7EE"/>
    <w:rsid w:val="00693F28"/>
    <w:rsid w:val="006949C3"/>
    <w:rsid w:val="00697390"/>
    <w:rsid w:val="00697A95"/>
    <w:rsid w:val="006A0175"/>
    <w:rsid w:val="006A46F4"/>
    <w:rsid w:val="006A5E24"/>
    <w:rsid w:val="006B2172"/>
    <w:rsid w:val="006B32C9"/>
    <w:rsid w:val="006B34F7"/>
    <w:rsid w:val="006B4BC6"/>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04D"/>
    <w:rsid w:val="0071488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4C7E"/>
    <w:rsid w:val="00756924"/>
    <w:rsid w:val="007579D2"/>
    <w:rsid w:val="00762311"/>
    <w:rsid w:val="00763716"/>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3677"/>
    <w:rsid w:val="007A4EBE"/>
    <w:rsid w:val="007A69CB"/>
    <w:rsid w:val="007B1A1D"/>
    <w:rsid w:val="007B56B3"/>
    <w:rsid w:val="007B59D7"/>
    <w:rsid w:val="007B610E"/>
    <w:rsid w:val="007B7F1F"/>
    <w:rsid w:val="007C10A3"/>
    <w:rsid w:val="007C4617"/>
    <w:rsid w:val="007C6B6E"/>
    <w:rsid w:val="007C6D8B"/>
    <w:rsid w:val="007D0F1A"/>
    <w:rsid w:val="007D2C62"/>
    <w:rsid w:val="007D347F"/>
    <w:rsid w:val="007D4340"/>
    <w:rsid w:val="007D5374"/>
    <w:rsid w:val="007D5594"/>
    <w:rsid w:val="007D72EF"/>
    <w:rsid w:val="007D7D61"/>
    <w:rsid w:val="007E22B6"/>
    <w:rsid w:val="007E3ED3"/>
    <w:rsid w:val="007E5339"/>
    <w:rsid w:val="007E67D1"/>
    <w:rsid w:val="007E7F01"/>
    <w:rsid w:val="007F29D6"/>
    <w:rsid w:val="007F57D9"/>
    <w:rsid w:val="007F6DD4"/>
    <w:rsid w:val="00800552"/>
    <w:rsid w:val="00800941"/>
    <w:rsid w:val="0080294D"/>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1B86"/>
    <w:rsid w:val="008A58C6"/>
    <w:rsid w:val="008A6929"/>
    <w:rsid w:val="008A6C6A"/>
    <w:rsid w:val="008B110D"/>
    <w:rsid w:val="008B2B14"/>
    <w:rsid w:val="008B514A"/>
    <w:rsid w:val="008C1E81"/>
    <w:rsid w:val="008C2312"/>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2E12"/>
    <w:rsid w:val="0095304F"/>
    <w:rsid w:val="00954EC5"/>
    <w:rsid w:val="0095514F"/>
    <w:rsid w:val="009629BB"/>
    <w:rsid w:val="00964C5B"/>
    <w:rsid w:val="00967DF7"/>
    <w:rsid w:val="00967FEE"/>
    <w:rsid w:val="009713CA"/>
    <w:rsid w:val="00973823"/>
    <w:rsid w:val="009749A3"/>
    <w:rsid w:val="00975240"/>
    <w:rsid w:val="00977B10"/>
    <w:rsid w:val="00977D1D"/>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E76D0"/>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4578"/>
    <w:rsid w:val="00A74617"/>
    <w:rsid w:val="00A75812"/>
    <w:rsid w:val="00A80601"/>
    <w:rsid w:val="00A80C5F"/>
    <w:rsid w:val="00A8538A"/>
    <w:rsid w:val="00A860E1"/>
    <w:rsid w:val="00A86F41"/>
    <w:rsid w:val="00A90D63"/>
    <w:rsid w:val="00A91D86"/>
    <w:rsid w:val="00A922FE"/>
    <w:rsid w:val="00A92730"/>
    <w:rsid w:val="00A92898"/>
    <w:rsid w:val="00A92EE0"/>
    <w:rsid w:val="00A94546"/>
    <w:rsid w:val="00A95E19"/>
    <w:rsid w:val="00A96CAE"/>
    <w:rsid w:val="00AA290F"/>
    <w:rsid w:val="00AA3944"/>
    <w:rsid w:val="00AA5702"/>
    <w:rsid w:val="00AA62ED"/>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E5049"/>
    <w:rsid w:val="00AF0A05"/>
    <w:rsid w:val="00AF232B"/>
    <w:rsid w:val="00AF2F56"/>
    <w:rsid w:val="00AF3573"/>
    <w:rsid w:val="00AF7CC5"/>
    <w:rsid w:val="00B012B8"/>
    <w:rsid w:val="00B03F56"/>
    <w:rsid w:val="00B04936"/>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7998"/>
    <w:rsid w:val="00B809E4"/>
    <w:rsid w:val="00B836BF"/>
    <w:rsid w:val="00B8438A"/>
    <w:rsid w:val="00B848B9"/>
    <w:rsid w:val="00B85FFB"/>
    <w:rsid w:val="00B863DA"/>
    <w:rsid w:val="00B90627"/>
    <w:rsid w:val="00B92E7F"/>
    <w:rsid w:val="00B95316"/>
    <w:rsid w:val="00B95DF3"/>
    <w:rsid w:val="00B979B5"/>
    <w:rsid w:val="00BA101B"/>
    <w:rsid w:val="00BA2C8F"/>
    <w:rsid w:val="00BA4280"/>
    <w:rsid w:val="00BA6201"/>
    <w:rsid w:val="00BA63CE"/>
    <w:rsid w:val="00BA667B"/>
    <w:rsid w:val="00BA6900"/>
    <w:rsid w:val="00BA6F60"/>
    <w:rsid w:val="00BB1073"/>
    <w:rsid w:val="00BB49CB"/>
    <w:rsid w:val="00BB5142"/>
    <w:rsid w:val="00BB6C4C"/>
    <w:rsid w:val="00BC01E6"/>
    <w:rsid w:val="00BC2D2F"/>
    <w:rsid w:val="00BC64CF"/>
    <w:rsid w:val="00BC675C"/>
    <w:rsid w:val="00BD047D"/>
    <w:rsid w:val="00BD20DA"/>
    <w:rsid w:val="00BD2BC3"/>
    <w:rsid w:val="00BD2F37"/>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791"/>
    <w:rsid w:val="00C81991"/>
    <w:rsid w:val="00C82D7E"/>
    <w:rsid w:val="00C847F4"/>
    <w:rsid w:val="00C84CCD"/>
    <w:rsid w:val="00C85BD0"/>
    <w:rsid w:val="00C86DD9"/>
    <w:rsid w:val="00C87D98"/>
    <w:rsid w:val="00C91BE8"/>
    <w:rsid w:val="00C94B1D"/>
    <w:rsid w:val="00C95925"/>
    <w:rsid w:val="00C95E80"/>
    <w:rsid w:val="00C97181"/>
    <w:rsid w:val="00C9718D"/>
    <w:rsid w:val="00CA0B83"/>
    <w:rsid w:val="00CA0D36"/>
    <w:rsid w:val="00CA57F6"/>
    <w:rsid w:val="00CB0B99"/>
    <w:rsid w:val="00CB3CCC"/>
    <w:rsid w:val="00CB3F91"/>
    <w:rsid w:val="00CB75AD"/>
    <w:rsid w:val="00CC04C5"/>
    <w:rsid w:val="00CC250D"/>
    <w:rsid w:val="00CC2547"/>
    <w:rsid w:val="00CC72AF"/>
    <w:rsid w:val="00CD2C14"/>
    <w:rsid w:val="00CD2F8C"/>
    <w:rsid w:val="00CD357C"/>
    <w:rsid w:val="00CD74F5"/>
    <w:rsid w:val="00CD7585"/>
    <w:rsid w:val="00CE0BB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233FC"/>
    <w:rsid w:val="00D24C38"/>
    <w:rsid w:val="00D24D32"/>
    <w:rsid w:val="00D264EA"/>
    <w:rsid w:val="00D31131"/>
    <w:rsid w:val="00D325B6"/>
    <w:rsid w:val="00D32973"/>
    <w:rsid w:val="00D33159"/>
    <w:rsid w:val="00D34F56"/>
    <w:rsid w:val="00D3638F"/>
    <w:rsid w:val="00D37A43"/>
    <w:rsid w:val="00D40EDE"/>
    <w:rsid w:val="00D41E04"/>
    <w:rsid w:val="00D41E74"/>
    <w:rsid w:val="00D41FCC"/>
    <w:rsid w:val="00D4430C"/>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C655F"/>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06E9A"/>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6DB3"/>
    <w:rsid w:val="00ED777A"/>
    <w:rsid w:val="00EE0FA1"/>
    <w:rsid w:val="00EE2853"/>
    <w:rsid w:val="00EE577B"/>
    <w:rsid w:val="00EE67F7"/>
    <w:rsid w:val="00EF0468"/>
    <w:rsid w:val="00EF0518"/>
    <w:rsid w:val="00EF16B1"/>
    <w:rsid w:val="00EF2D42"/>
    <w:rsid w:val="00EF3449"/>
    <w:rsid w:val="00F053EC"/>
    <w:rsid w:val="00F056B0"/>
    <w:rsid w:val="00F06ED0"/>
    <w:rsid w:val="00F107B6"/>
    <w:rsid w:val="00F12412"/>
    <w:rsid w:val="00F1378E"/>
    <w:rsid w:val="00F14B3B"/>
    <w:rsid w:val="00F22433"/>
    <w:rsid w:val="00F23EDE"/>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2FAE"/>
    <w:rsid w:val="00FA7FF5"/>
    <w:rsid w:val="00FB0283"/>
    <w:rsid w:val="00FB0FBB"/>
    <w:rsid w:val="00FB19E4"/>
    <w:rsid w:val="00FB4873"/>
    <w:rsid w:val="00FB594F"/>
    <w:rsid w:val="00FC40D0"/>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CFD49C-20D9-419D-8179-B1E98019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paragraph" w:styleId="Heading5">
    <w:name w:val="heading 5"/>
    <w:basedOn w:val="Normal"/>
    <w:next w:val="Normal"/>
    <w:link w:val="Heading5Char"/>
    <w:uiPriority w:val="9"/>
    <w:semiHidden/>
    <w:unhideWhenUsed/>
    <w:qFormat/>
    <w:rsid w:val="00265D7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4CCD"/>
  </w:style>
  <w:style w:type="paragraph" w:styleId="Footer">
    <w:name w:val="footer"/>
    <w:basedOn w:val="Normal"/>
    <w:link w:val="FooterChar"/>
    <w:uiPriority w:val="99"/>
    <w:semiHidden/>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paragraph" w:customStyle="1" w:styleId="Default">
    <w:name w:val="Default"/>
    <w:basedOn w:val="Normal"/>
    <w:rsid w:val="00532E51"/>
    <w:pPr>
      <w:autoSpaceDE w:val="0"/>
      <w:autoSpaceDN w:val="0"/>
      <w:spacing w:after="0" w:line="240" w:lineRule="auto"/>
    </w:pPr>
    <w:rPr>
      <w:rFonts w:ascii="Arial" w:hAnsi="Arial" w:cs="Arial"/>
      <w:color w:val="000000"/>
      <w:sz w:val="24"/>
      <w:szCs w:val="24"/>
      <w:lang w:eastAsia="en-GB"/>
    </w:rPr>
  </w:style>
  <w:style w:type="character" w:customStyle="1" w:styleId="Heading5Char">
    <w:name w:val="Heading 5 Char"/>
    <w:basedOn w:val="DefaultParagraphFont"/>
    <w:link w:val="Heading5"/>
    <w:uiPriority w:val="9"/>
    <w:semiHidden/>
    <w:rsid w:val="00265D7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65284174">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78222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98737180">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77289097">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1470240814">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29078780">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C4C8ACE341481BA9F5E7569911D14A"/>
        <w:category>
          <w:name w:val="General"/>
          <w:gallery w:val="placeholder"/>
        </w:category>
        <w:types>
          <w:type w:val="bbPlcHdr"/>
        </w:types>
        <w:behaviors>
          <w:behavior w:val="content"/>
        </w:behaviors>
        <w:guid w:val="{FE522C13-9520-48F8-8E95-82FD2777A8A0}"/>
      </w:docPartPr>
      <w:docPartBody>
        <w:p w:rsidR="00A3643E" w:rsidRDefault="00734598" w:rsidP="00734598">
          <w:pPr>
            <w:pStyle w:val="9FC4C8ACE341481BA9F5E7569911D14A"/>
          </w:pPr>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98"/>
    <w:rsid w:val="00734598"/>
    <w:rsid w:val="00A3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598"/>
    <w:rPr>
      <w:color w:val="808080"/>
    </w:rPr>
  </w:style>
  <w:style w:type="paragraph" w:customStyle="1" w:styleId="9FC4C8ACE341481BA9F5E7569911D14A">
    <w:name w:val="9FC4C8ACE341481BA9F5E7569911D14A"/>
    <w:rsid w:val="00734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5E131-5157-4700-90EF-9BBED0A1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execfosullivan</dc:creator>
  <cp:keywords/>
  <dc:description/>
  <cp:lastModifiedBy>Haughton, Georgia</cp:lastModifiedBy>
  <cp:revision>2</cp:revision>
  <cp:lastPrinted>2017-05-08T08:38:00Z</cp:lastPrinted>
  <dcterms:created xsi:type="dcterms:W3CDTF">2019-07-19T13:17:00Z</dcterms:created>
  <dcterms:modified xsi:type="dcterms:W3CDTF">2019-07-19T13:17:00Z</dcterms:modified>
</cp:coreProperties>
</file>