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EF9E" w14:textId="27FF7099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0DC0F005" w14:textId="51BE5F7C" w:rsidR="1662AEED" w:rsidRPr="006307D4" w:rsidRDefault="007D78C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Deputy SENCO (non-teaching)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7CA4058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7D78C8">
        <w:rPr>
          <w:rFonts w:ascii="Nunito" w:hAnsi="Nunito" w:cs="Arial"/>
        </w:rPr>
        <w:t xml:space="preserve">work closely with the SENCO to </w:t>
      </w:r>
      <w:r w:rsidR="006307D4">
        <w:rPr>
          <w:rFonts w:ascii="Nunito" w:hAnsi="Nunito" w:cs="Arial"/>
        </w:rPr>
        <w:t>ensur</w:t>
      </w:r>
      <w:r w:rsidR="007D78C8">
        <w:rPr>
          <w:rFonts w:ascii="Nunito" w:hAnsi="Nunito" w:cs="Arial"/>
        </w:rPr>
        <w:t>e</w:t>
      </w:r>
      <w:r w:rsidR="006307D4">
        <w:rPr>
          <w:rFonts w:ascii="Nunito" w:hAnsi="Nunito" w:cs="Arial"/>
        </w:rPr>
        <w:t xml:space="preserve"> pupils are safe, have </w:t>
      </w:r>
      <w:r w:rsidR="00DF3148">
        <w:rPr>
          <w:rFonts w:ascii="Nunito" w:hAnsi="Nunito" w:cs="Arial"/>
        </w:rPr>
        <w:t xml:space="preserve">a </w:t>
      </w:r>
      <w:r w:rsidR="006307D4">
        <w:rPr>
          <w:rFonts w:ascii="Nunito" w:hAnsi="Nunito" w:cs="Arial"/>
        </w:rPr>
        <w:t>positive sense of wellbeing and achieve their full potential academically</w:t>
      </w:r>
      <w:r w:rsidR="00B11818">
        <w:rPr>
          <w:rFonts w:ascii="Nunito" w:hAnsi="Nunito" w:cs="Arial"/>
        </w:rPr>
        <w:t xml:space="preserve"> by reducing barriers to learning</w:t>
      </w:r>
      <w:r w:rsidR="006307D4">
        <w:rPr>
          <w:rFonts w:ascii="Nunito" w:hAnsi="Nunito" w:cs="Arial"/>
        </w:rPr>
        <w:t xml:space="preserve">. </w:t>
      </w:r>
      <w:r w:rsidR="00B11818">
        <w:rPr>
          <w:rFonts w:ascii="Nunito" w:hAnsi="Nunito" w:cs="Arial"/>
        </w:rPr>
        <w:t>To a</w:t>
      </w:r>
      <w:r w:rsidR="00986172">
        <w:rPr>
          <w:rFonts w:ascii="Nunito" w:hAnsi="Nunito" w:cs="Arial"/>
        </w:rPr>
        <w:t xml:space="preserve">lso provide focused </w:t>
      </w:r>
      <w:r w:rsidR="00B11818">
        <w:rPr>
          <w:rFonts w:ascii="Nunito" w:hAnsi="Nunito" w:cs="Arial"/>
        </w:rPr>
        <w:t xml:space="preserve">support to </w:t>
      </w:r>
      <w:r w:rsidR="00DF3148">
        <w:rPr>
          <w:rFonts w:ascii="Nunito" w:hAnsi="Nunito" w:cs="Arial"/>
        </w:rPr>
        <w:t>students</w:t>
      </w:r>
      <w:r w:rsidR="00B11818">
        <w:rPr>
          <w:rFonts w:ascii="Nunito" w:hAnsi="Nunito" w:cs="Arial"/>
        </w:rPr>
        <w:t xml:space="preserve"> with complex needs, ensuring </w:t>
      </w:r>
      <w:r w:rsidR="00DF3148">
        <w:rPr>
          <w:rFonts w:ascii="Nunito" w:hAnsi="Nunito" w:cs="Arial"/>
        </w:rPr>
        <w:t>no student is left behind.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4EE4B8F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BB577D">
        <w:rPr>
          <w:rFonts w:ascii="Nunito" w:hAnsi="Nunito" w:cs="Arial"/>
        </w:rPr>
        <w:t xml:space="preserve">to </w:t>
      </w:r>
      <w:r w:rsidR="00DF3148">
        <w:rPr>
          <w:rFonts w:ascii="Nunito" w:hAnsi="Nunito" w:cs="Arial"/>
        </w:rPr>
        <w:t>the SENCO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1EC8C33B" w14:textId="77777777" w:rsidR="00BB577D" w:rsidRDefault="00BB577D" w:rsidP="00BB577D">
      <w:pPr>
        <w:jc w:val="both"/>
        <w:rPr>
          <w:rFonts w:asciiTheme="minorHAnsi" w:hAnsiTheme="minorHAnsi"/>
          <w:b/>
        </w:rPr>
      </w:pPr>
    </w:p>
    <w:p w14:paraId="61F91B8E" w14:textId="51609211" w:rsidR="00DF3148" w:rsidRDefault="00DF3148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with the SENCO to support faculties in ensuring outstanding outcomes for SEND students</w:t>
      </w:r>
    </w:p>
    <w:p w14:paraId="00D0890C" w14:textId="02EBF897" w:rsidR="00645568" w:rsidRDefault="00645568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guidance to colleagues on teaching pupils with SEN or a disability and advise on the graduated approach to SEN support</w:t>
      </w:r>
    </w:p>
    <w:p w14:paraId="3C4BE994" w14:textId="7EFE3335" w:rsidR="00DF3148" w:rsidRPr="00DF3148" w:rsidRDefault="00DF3148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 w:rsidRPr="00DF3148">
        <w:rPr>
          <w:rFonts w:asciiTheme="minorHAnsi" w:hAnsiTheme="minorHAnsi" w:cstheme="minorHAnsi"/>
        </w:rPr>
        <w:t>Assist</w:t>
      </w:r>
      <w:r w:rsidR="001D287D">
        <w:rPr>
          <w:rFonts w:asciiTheme="minorHAnsi" w:hAnsiTheme="minorHAnsi" w:cstheme="minorHAnsi"/>
        </w:rPr>
        <w:t>ing</w:t>
      </w:r>
      <w:r w:rsidRPr="00DF3148">
        <w:rPr>
          <w:rFonts w:asciiTheme="minorHAnsi" w:hAnsiTheme="minorHAnsi" w:cstheme="minorHAnsi"/>
        </w:rPr>
        <w:t xml:space="preserve"> with </w:t>
      </w:r>
      <w:r w:rsidRPr="00DF3148">
        <w:rPr>
          <w:rFonts w:cs="Calibri"/>
        </w:rPr>
        <w:t>the development and implementation of strategies aimed at raising the achievement of SEND students.</w:t>
      </w:r>
    </w:p>
    <w:p w14:paraId="5E88D36B" w14:textId="2020B4B6" w:rsidR="00DF3148" w:rsidRPr="001D287D" w:rsidRDefault="001D287D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 w:rsidRPr="00597CC9">
        <w:rPr>
          <w:rFonts w:cs="Calibri"/>
        </w:rPr>
        <w:t>Actively promot</w:t>
      </w:r>
      <w:r>
        <w:rPr>
          <w:rFonts w:cs="Calibri"/>
        </w:rPr>
        <w:t>ing</w:t>
      </w:r>
      <w:r w:rsidRPr="00597CC9">
        <w:rPr>
          <w:rFonts w:cs="Calibri"/>
        </w:rPr>
        <w:t xml:space="preserve"> and demonstrat</w:t>
      </w:r>
      <w:r>
        <w:rPr>
          <w:rFonts w:cs="Calibri"/>
        </w:rPr>
        <w:t>ing</w:t>
      </w:r>
      <w:r w:rsidRPr="00597CC9">
        <w:rPr>
          <w:rFonts w:cs="Calibri"/>
        </w:rPr>
        <w:t xml:space="preserve"> creativity and innovation when searching out n</w:t>
      </w:r>
      <w:r>
        <w:rPr>
          <w:rFonts w:cs="Calibri"/>
        </w:rPr>
        <w:t>ew strategies to support our SEND</w:t>
      </w:r>
      <w:r w:rsidRPr="00597CC9">
        <w:rPr>
          <w:rFonts w:cs="Calibri"/>
        </w:rPr>
        <w:t xml:space="preserve"> students</w:t>
      </w:r>
    </w:p>
    <w:p w14:paraId="21C15E0B" w14:textId="0E48961B" w:rsidR="001D287D" w:rsidRDefault="001D287D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Leading and monitoring appropriate intervention programmes for SEND students</w:t>
      </w:r>
    </w:p>
    <w:p w14:paraId="11B34288" w14:textId="49ECAB57" w:rsidR="001D287D" w:rsidRDefault="001D287D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Supporting all curriculum areas to contribute positively to raise the achievement of SEND students</w:t>
      </w:r>
    </w:p>
    <w:p w14:paraId="177605AB" w14:textId="61C988A9" w:rsidR="00661675" w:rsidRDefault="00661675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good quality school documentation pertaining to the Learning Support needs of all students</w:t>
      </w:r>
    </w:p>
    <w:p w14:paraId="0B8CB78E" w14:textId="4EE5BFE4" w:rsidR="00661675" w:rsidRPr="00672CEE" w:rsidRDefault="00262D9E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Deputising for the SENCO at </w:t>
      </w:r>
      <w:r w:rsidRPr="007A60A3">
        <w:rPr>
          <w:rFonts w:cs="Calibri"/>
        </w:rPr>
        <w:t xml:space="preserve">PEP meetings with outside agencies and ensure PEP documents are personalised, robust and include SMART targets aimed at raising the achievement of individual students  </w:t>
      </w:r>
    </w:p>
    <w:p w14:paraId="5EFF7E72" w14:textId="48D0A966" w:rsidR="00672CEE" w:rsidRPr="00262D9E" w:rsidRDefault="00672CEE" w:rsidP="00DF3148">
      <w:pPr>
        <w:pStyle w:val="ListParagraph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Deputising for the SENCO in liaising with and co-ordinating the contribution of external agencies such as Educational Psychology and CAMHS</w:t>
      </w:r>
    </w:p>
    <w:p w14:paraId="06FF1532" w14:textId="7C0F5BF2" w:rsidR="00262D9E" w:rsidRDefault="00672CEE" w:rsidP="00262D9E">
      <w:pPr>
        <w:pStyle w:val="ListParagraph"/>
        <w:numPr>
          <w:ilvl w:val="0"/>
          <w:numId w:val="33"/>
        </w:numPr>
        <w:contextualSpacing/>
        <w:rPr>
          <w:rFonts w:cs="Calibri"/>
        </w:rPr>
      </w:pPr>
      <w:r>
        <w:rPr>
          <w:rFonts w:cs="Calibri"/>
        </w:rPr>
        <w:t>Assisting</w:t>
      </w:r>
      <w:r w:rsidR="00262D9E">
        <w:rPr>
          <w:rFonts w:cs="Calibri"/>
        </w:rPr>
        <w:t xml:space="preserve"> with CPD training for teaching and learning of SEND students </w:t>
      </w:r>
    </w:p>
    <w:p w14:paraId="02DCC05D" w14:textId="4FE98D58" w:rsidR="00262D9E" w:rsidRPr="006110F8" w:rsidRDefault="00672CEE" w:rsidP="00262D9E">
      <w:pPr>
        <w:pStyle w:val="ListParagraph"/>
        <w:numPr>
          <w:ilvl w:val="0"/>
          <w:numId w:val="33"/>
        </w:numPr>
        <w:contextualSpacing/>
        <w:rPr>
          <w:rFonts w:cs="Calibri"/>
        </w:rPr>
      </w:pPr>
      <w:r>
        <w:rPr>
          <w:rFonts w:cs="Calibri"/>
        </w:rPr>
        <w:t>Adhering</w:t>
      </w:r>
      <w:r w:rsidR="00262D9E" w:rsidRPr="006110F8">
        <w:rPr>
          <w:rFonts w:cs="Calibri"/>
        </w:rPr>
        <w:t xml:space="preserve"> to the C.O.P</w:t>
      </w:r>
    </w:p>
    <w:p w14:paraId="69CC4ECE" w14:textId="7641B1FC" w:rsidR="00262D9E" w:rsidRDefault="00672CEE" w:rsidP="00262D9E">
      <w:pPr>
        <w:pStyle w:val="ListParagraph"/>
        <w:numPr>
          <w:ilvl w:val="0"/>
          <w:numId w:val="33"/>
        </w:numPr>
        <w:contextualSpacing/>
        <w:rPr>
          <w:rFonts w:cs="Calibri"/>
        </w:rPr>
      </w:pPr>
      <w:r>
        <w:rPr>
          <w:rFonts w:cs="Calibri"/>
        </w:rPr>
        <w:t xml:space="preserve">Promoting and embedding </w:t>
      </w:r>
      <w:r w:rsidR="00262D9E" w:rsidRPr="006110F8">
        <w:rPr>
          <w:rFonts w:cs="Calibri"/>
        </w:rPr>
        <w:t>whole school priorities and initiatives as appropriate within the department</w:t>
      </w:r>
    </w:p>
    <w:p w14:paraId="5DF81652" w14:textId="4E9830BF" w:rsidR="00262D9E" w:rsidRDefault="00672CEE" w:rsidP="00262D9E">
      <w:pPr>
        <w:pStyle w:val="ListParagraph"/>
        <w:numPr>
          <w:ilvl w:val="0"/>
          <w:numId w:val="33"/>
        </w:numPr>
        <w:contextualSpacing/>
        <w:rPr>
          <w:rFonts w:cs="Calibri"/>
        </w:rPr>
      </w:pPr>
      <w:r>
        <w:rPr>
          <w:rFonts w:cs="Calibri"/>
        </w:rPr>
        <w:t>Assisting the SENCO to e</w:t>
      </w:r>
      <w:r w:rsidR="00262D9E">
        <w:rPr>
          <w:rFonts w:cs="Calibri"/>
        </w:rPr>
        <w:t>valuate, monitor and communicate</w:t>
      </w:r>
      <w:r w:rsidR="00262D9E" w:rsidRPr="006110F8">
        <w:rPr>
          <w:rFonts w:cs="Calibri"/>
        </w:rPr>
        <w:t xml:space="preserve"> faculty performance priorities and targets</w:t>
      </w:r>
      <w:r>
        <w:rPr>
          <w:rFonts w:cs="Calibri"/>
        </w:rPr>
        <w:t>.</w:t>
      </w:r>
      <w:r w:rsidR="00262D9E" w:rsidRPr="006110F8">
        <w:rPr>
          <w:rFonts w:cs="Calibri"/>
        </w:rPr>
        <w:t xml:space="preserve"> </w:t>
      </w:r>
    </w:p>
    <w:p w14:paraId="7942ED97" w14:textId="01DAD003" w:rsidR="00BB577D" w:rsidRPr="00E330E4" w:rsidRDefault="00756AA0" w:rsidP="00E330E4">
      <w:pPr>
        <w:pStyle w:val="ListParagraph"/>
        <w:numPr>
          <w:ilvl w:val="0"/>
          <w:numId w:val="33"/>
        </w:numPr>
        <w:contextualSpacing/>
        <w:rPr>
          <w:rFonts w:cs="Calibri"/>
        </w:rPr>
      </w:pPr>
      <w:r>
        <w:rPr>
          <w:rFonts w:cs="Calibri"/>
        </w:rPr>
        <w:t>Assist the SENCO to develop and embed strategies that maximise the use of technology by students and staff to support teaching and learning and boost outcomes</w:t>
      </w:r>
    </w:p>
    <w:p w14:paraId="17A1A634" w14:textId="6A3FAEF9" w:rsidR="00BB577D" w:rsidRDefault="00645568" w:rsidP="00F360AD">
      <w:pPr>
        <w:pStyle w:val="ListParagraph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an accurate SEND register and provision map</w:t>
      </w:r>
    </w:p>
    <w:p w14:paraId="2B1D38E2" w14:textId="66ACE74D" w:rsidR="00E330E4" w:rsidRPr="00870BFC" w:rsidRDefault="00870BFC" w:rsidP="00E330E4">
      <w:pPr>
        <w:pStyle w:val="ListParagraph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</w:rPr>
      </w:pPr>
      <w:r w:rsidRPr="00870BFC">
        <w:rPr>
          <w:rFonts w:asciiTheme="minorHAnsi" w:hAnsiTheme="minorHAnsi" w:cstheme="minorHAnsi"/>
        </w:rPr>
        <w:t>Support faculties in ensuring accurate record keeping and data for SEND students</w:t>
      </w:r>
    </w:p>
    <w:p w14:paraId="25F31E10" w14:textId="0C04B194" w:rsidR="00E330E4" w:rsidRPr="00F360AD" w:rsidRDefault="00E330E4" w:rsidP="00F360AD">
      <w:pPr>
        <w:pStyle w:val="ListParagraph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Analyse assessment data for pupils with SEN and/or a disability and liaise with the SENCO and teaching colleagues to implement appropriate interventions</w:t>
      </w:r>
    </w:p>
    <w:p w14:paraId="3178F70B" w14:textId="77777777" w:rsidR="00870BFC" w:rsidRDefault="00870BFC">
      <w:pPr>
        <w:spacing w:after="200" w:line="276" w:lineRule="auto"/>
        <w:rPr>
          <w:rFonts w:ascii="Nunito" w:eastAsia="Nunito" w:hAnsi="Nunito" w:cs="Nunito"/>
          <w:b/>
          <w:szCs w:val="22"/>
        </w:rPr>
      </w:pPr>
      <w:r>
        <w:rPr>
          <w:rFonts w:ascii="Nunito" w:eastAsia="Nunito" w:hAnsi="Nunito" w:cs="Nunito"/>
          <w:b/>
          <w:szCs w:val="22"/>
        </w:rPr>
        <w:br w:type="page"/>
      </w:r>
    </w:p>
    <w:p w14:paraId="69CAEE44" w14:textId="12325F26" w:rsidR="24833FD1" w:rsidRPr="00C114B4" w:rsidRDefault="24833FD1" w:rsidP="72666F94">
      <w:pPr>
        <w:jc w:val="both"/>
        <w:rPr>
          <w:rFonts w:ascii="Nunito" w:eastAsia="Nunito" w:hAnsi="Nunito" w:cs="Nunito"/>
          <w:b/>
          <w:szCs w:val="22"/>
        </w:rPr>
      </w:pPr>
      <w:r w:rsidRPr="00C114B4">
        <w:rPr>
          <w:rFonts w:ascii="Nunito" w:eastAsia="Nunito" w:hAnsi="Nunito" w:cs="Nunito"/>
          <w:b/>
          <w:szCs w:val="22"/>
        </w:rPr>
        <w:lastRenderedPageBreak/>
        <w:t>Culture</w:t>
      </w:r>
    </w:p>
    <w:p w14:paraId="60FBC0DB" w14:textId="00748D8D" w:rsidR="24833FD1" w:rsidRDefault="24833FD1" w:rsidP="00F360AD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26FF436C" w:rsidR="24833FD1" w:rsidRPr="00C114B4" w:rsidRDefault="24833FD1" w:rsidP="00F360AD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9CA5789" w14:textId="6EFF14B4" w:rsidR="00C114B4" w:rsidRDefault="00C114B4" w:rsidP="00C114B4">
      <w:pPr>
        <w:jc w:val="both"/>
        <w:rPr>
          <w:rFonts w:asciiTheme="minorHAnsi" w:eastAsiaTheme="minorEastAsia" w:hAnsiTheme="minorHAnsi" w:cstheme="minorBidi"/>
        </w:rPr>
      </w:pPr>
    </w:p>
    <w:p w14:paraId="274E0F16" w14:textId="7CC77A81" w:rsidR="00C114B4" w:rsidRPr="00BB577D" w:rsidRDefault="00C114B4" w:rsidP="00C114B4">
      <w:pPr>
        <w:contextualSpacing/>
        <w:jc w:val="both"/>
        <w:rPr>
          <w:rFonts w:asciiTheme="minorHAnsi" w:hAnsiTheme="minorHAnsi" w:cstheme="minorHAnsi"/>
          <w:szCs w:val="22"/>
        </w:rPr>
      </w:pPr>
      <w:r w:rsidRPr="00F360AD">
        <w:rPr>
          <w:rFonts w:asciiTheme="minorHAnsi" w:hAnsiTheme="minorHAnsi" w:cstheme="minorHAnsi"/>
        </w:rPr>
        <w:t xml:space="preserve">During term time the DSL (or a deputy) should always be available (during school hours) for staff in the school to discuss any safeguarding concerns. </w:t>
      </w:r>
      <w:r w:rsidRPr="00BB577D">
        <w:rPr>
          <w:rFonts w:asciiTheme="minorHAnsi" w:hAnsiTheme="minorHAnsi" w:cstheme="minorHAnsi"/>
          <w:szCs w:val="22"/>
        </w:rPr>
        <w:t>It is a matter for individual schools and the DSL to arrange adequate and appropriate cover arrangements for any out of hours/out of term activities</w:t>
      </w:r>
    </w:p>
    <w:p w14:paraId="039DFC77" w14:textId="77777777" w:rsidR="00F360AD" w:rsidRDefault="00F360AD" w:rsidP="00F360AD">
      <w:pPr>
        <w:jc w:val="both"/>
        <w:rPr>
          <w:rFonts w:ascii="Nunito" w:eastAsia="Nunito" w:hAnsi="Nunito" w:cs="Nunito"/>
          <w:szCs w:val="22"/>
        </w:rPr>
      </w:pPr>
    </w:p>
    <w:p w14:paraId="597115A4" w14:textId="0431BFF6" w:rsidR="24833FD1" w:rsidRDefault="24833FD1" w:rsidP="00F360AD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00F360AD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32791DF" w14:textId="77777777" w:rsidR="00870BFC" w:rsidRDefault="00870BFC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08AA2A5B" w:rsidR="00E04A7A" w:rsidRPr="00277C72" w:rsidRDefault="00E04A7A" w:rsidP="00C114B4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3ED90A0C" w14:textId="77777777" w:rsidR="00C114B4" w:rsidRDefault="00C114B4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4DA7F118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2814AFD9" w14:textId="77777777" w:rsidR="00C114B4" w:rsidRDefault="00C114B4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7635084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5103"/>
        <w:gridCol w:w="425"/>
        <w:gridCol w:w="397"/>
        <w:gridCol w:w="567"/>
        <w:gridCol w:w="596"/>
        <w:gridCol w:w="396"/>
      </w:tblGrid>
      <w:tr w:rsidR="0009161A" w:rsidRPr="0009161A" w14:paraId="16060C9A" w14:textId="77777777" w:rsidTr="004A3DA7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4A3DA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103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425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4A3DA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425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4A3DA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425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D4CAB" w:rsidRPr="0009161A" w14:paraId="1DEBDA54" w14:textId="77777777" w:rsidTr="004A3DA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1D4CAB" w:rsidRPr="0009161A" w:rsidRDefault="001D4CAB" w:rsidP="0066279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103" w:type="dxa"/>
            <w:vAlign w:val="center"/>
          </w:tcPr>
          <w:p w14:paraId="39C5DE3D" w14:textId="02C1347D" w:rsidR="001D4CAB" w:rsidRPr="0009161A" w:rsidRDefault="001D4CAB" w:rsidP="0066279E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GCSEs grade 5-9 or equivalent in Maths and English </w:t>
            </w:r>
          </w:p>
        </w:tc>
        <w:tc>
          <w:tcPr>
            <w:tcW w:w="425" w:type="dxa"/>
          </w:tcPr>
          <w:p w14:paraId="76EBA7BE" w14:textId="4854F534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498F1F35" w14:textId="77777777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7E4FA1D4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11CF19BE" w14:textId="50004F54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511B4326" w14:textId="4F881BBD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23488" w:rsidRPr="0009161A" w14:paraId="14223FD2" w14:textId="77777777" w:rsidTr="004A3DA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D23488" w:rsidRPr="0009161A" w:rsidRDefault="00D23488" w:rsidP="00D2348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BF0678F" w14:textId="15D4EA97" w:rsidR="00D23488" w:rsidRPr="0009161A" w:rsidRDefault="00D23488" w:rsidP="00D23488">
            <w:pPr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Meet Higher Level Teaching Assistant standards or equivalent qualifications or experience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50C1CA77" w14:textId="38DC0573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35811843" w14:textId="77777777" w:rsidR="00D23488" w:rsidRPr="0009161A" w:rsidRDefault="00D23488" w:rsidP="00D2348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BC9EDF5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129AF383" w14:textId="3CBAC066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5D7CB46A" w14:textId="339D028B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25078B" w:rsidRPr="0009161A" w14:paraId="2379E56D" w14:textId="77777777" w:rsidTr="004A3DA7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25078B" w:rsidRPr="0009161A" w:rsidRDefault="0025078B" w:rsidP="0025078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16E61D5" w14:textId="04A0E00B" w:rsidR="0025078B" w:rsidRPr="0009161A" w:rsidRDefault="0025078B" w:rsidP="0025078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Sound knowledge of SEND Code of Practice 2014</w:t>
            </w:r>
          </w:p>
        </w:tc>
        <w:tc>
          <w:tcPr>
            <w:tcW w:w="425" w:type="dxa"/>
          </w:tcPr>
          <w:p w14:paraId="22ABFA81" w14:textId="6CBAE08E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3AB5E8D7" w14:textId="77777777" w:rsidR="0025078B" w:rsidRPr="0009161A" w:rsidRDefault="0025078B" w:rsidP="0025078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4599DA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24F13FFE" w14:textId="012C1A30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5630A6C0" w14:textId="34876466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5078B" w:rsidRPr="0009161A" w14:paraId="5407A76F" w14:textId="77777777" w:rsidTr="004A3DA7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1C22E2D" w14:textId="77777777" w:rsidR="0025078B" w:rsidRPr="0009161A" w:rsidRDefault="0025078B" w:rsidP="0025078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1722D71" w14:textId="520E1EC8" w:rsidR="0025078B" w:rsidRDefault="0025078B" w:rsidP="0025078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</w:t>
            </w:r>
            <w:r w:rsidR="00D23488">
              <w:rPr>
                <w:rFonts w:ascii="Nunito" w:hAnsi="Nunito"/>
                <w:szCs w:val="22"/>
              </w:rPr>
              <w:t>, Ofsted framework, best practice, national trends and innovation</w:t>
            </w:r>
          </w:p>
        </w:tc>
        <w:tc>
          <w:tcPr>
            <w:tcW w:w="425" w:type="dxa"/>
          </w:tcPr>
          <w:p w14:paraId="7446319F" w14:textId="77777777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397" w:type="dxa"/>
          </w:tcPr>
          <w:p w14:paraId="43EA9E57" w14:textId="77777777" w:rsidR="0025078B" w:rsidRPr="0009161A" w:rsidRDefault="0025078B" w:rsidP="0025078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AC959EE" w14:textId="77777777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96" w:type="dxa"/>
          </w:tcPr>
          <w:p w14:paraId="398BCFA3" w14:textId="77777777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396" w:type="dxa"/>
          </w:tcPr>
          <w:p w14:paraId="43A96154" w14:textId="77777777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25078B" w:rsidRPr="0009161A" w14:paraId="5E5E44AD" w14:textId="77777777" w:rsidTr="004A3DA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25078B" w:rsidRPr="0009161A" w:rsidRDefault="0025078B" w:rsidP="0025078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CDD4FA5" w14:textId="136E45CC" w:rsidR="0025078B" w:rsidRPr="0009161A" w:rsidRDefault="0025078B" w:rsidP="0025078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Knowledge and understanding of how children learn and how to motivate them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1454CC7" w14:textId="4A3E459D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4A9F2DFB" w14:textId="77777777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52017787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2A84EDBB" w14:textId="1D535F52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48A0DD80" w14:textId="6CA6EE20" w:rsidR="0025078B" w:rsidRPr="0009161A" w:rsidRDefault="0025078B" w:rsidP="0025078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392D" w:rsidRPr="0009161A" w14:paraId="7E3447A7" w14:textId="77777777" w:rsidTr="004A3DA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5CAA2F7" w14:textId="77777777" w:rsidR="00AD392D" w:rsidRPr="0009161A" w:rsidRDefault="00AD392D" w:rsidP="00AD392D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9DAA164" w14:textId="0878552A" w:rsidR="00AD392D" w:rsidRDefault="00AD392D" w:rsidP="00AD392D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Knowledge of strategies for spelling, reading and number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36E53FD" w14:textId="1E7F54CC" w:rsidR="00AD392D" w:rsidRPr="0009161A" w:rsidRDefault="00AD392D" w:rsidP="00AD392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1A9908DF" w14:textId="77777777" w:rsidR="00AD392D" w:rsidRPr="0009161A" w:rsidRDefault="00AD392D" w:rsidP="00AD392D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BF6256E" w14:textId="15E4E4C9" w:rsidR="00AD392D" w:rsidRPr="0009161A" w:rsidRDefault="00AD392D" w:rsidP="00AD392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2D06E5AC" w14:textId="0929C239" w:rsidR="00AD392D" w:rsidRPr="0009161A" w:rsidRDefault="00AD392D" w:rsidP="00AD392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7CA5C2EF" w14:textId="220CB7F6" w:rsidR="00AD392D" w:rsidRPr="0009161A" w:rsidRDefault="00AD392D" w:rsidP="00AD392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A3DA7" w:rsidRPr="0009161A" w14:paraId="0CDE5F6A" w14:textId="77777777" w:rsidTr="004A3DA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350193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68A3028" w14:textId="2047E718" w:rsidR="004A3DA7" w:rsidRDefault="0025078B" w:rsidP="004A3DA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experience of using basic diagnostic tests for identifying specific needs</w:t>
            </w:r>
          </w:p>
        </w:tc>
        <w:tc>
          <w:tcPr>
            <w:tcW w:w="425" w:type="dxa"/>
          </w:tcPr>
          <w:p w14:paraId="4E663A82" w14:textId="04FF2ED4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42DF6E1C" w14:textId="77777777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08FFCB2" w14:textId="4CB41F81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7EDDE7F1" w14:textId="35298350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2217F9FF" w14:textId="149F59AD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D4CAB" w:rsidRPr="0009161A" w14:paraId="596978A9" w14:textId="77777777" w:rsidTr="004A3DA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38A9114" w14:textId="77777777" w:rsidR="001D4CAB" w:rsidRPr="0009161A" w:rsidRDefault="001D4CAB" w:rsidP="0066279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5EC65F7" w14:textId="3B010E73" w:rsidR="001D4CAB" w:rsidRDefault="001D4CAB" w:rsidP="0066279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Continuing Professional Development</w:t>
            </w:r>
          </w:p>
        </w:tc>
        <w:tc>
          <w:tcPr>
            <w:tcW w:w="425" w:type="dxa"/>
          </w:tcPr>
          <w:p w14:paraId="291062F7" w14:textId="5CFA1522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74B153FA" w14:textId="77777777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1EF8B24" w14:textId="01099F1C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6DB9BE84" w14:textId="69299BE8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09CEB103" w14:textId="7C4F0FF6" w:rsidR="001D4CAB" w:rsidRPr="0009161A" w:rsidRDefault="001D4CAB" w:rsidP="0066279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A3DA7" w:rsidRPr="0009161A" w14:paraId="16E8A04F" w14:textId="77777777" w:rsidTr="00E0648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10D7818A" w:rsidR="004A3DA7" w:rsidRPr="0009161A" w:rsidRDefault="004A3DA7" w:rsidP="004A3DA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103" w:type="dxa"/>
            <w:vAlign w:val="center"/>
          </w:tcPr>
          <w:p w14:paraId="265CBDAA" w14:textId="3ADBE96B" w:rsidR="004A3DA7" w:rsidRPr="0009161A" w:rsidRDefault="004A3DA7" w:rsidP="004A3DA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of the relevant age range and their families in an educational setting or similar</w:t>
            </w:r>
          </w:p>
        </w:tc>
        <w:tc>
          <w:tcPr>
            <w:tcW w:w="425" w:type="dxa"/>
          </w:tcPr>
          <w:p w14:paraId="4EE4D808" w14:textId="7290ED03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3C408A5E" w14:textId="77777777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3CE183AD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5A9FCFA3" w14:textId="328559CB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3FED8A8A" w14:textId="40D28156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A3DA7" w:rsidRPr="0009161A" w14:paraId="1D88F61B" w14:textId="77777777" w:rsidTr="00E0648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44A7A7C" w14:textId="3DAC8CAB" w:rsidR="004A3DA7" w:rsidRPr="0009161A" w:rsidRDefault="0025078B" w:rsidP="004A3DA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closely with parents in successful home-school partnerships that support pupils’ needs</w:t>
            </w:r>
          </w:p>
        </w:tc>
        <w:tc>
          <w:tcPr>
            <w:tcW w:w="425" w:type="dxa"/>
          </w:tcPr>
          <w:p w14:paraId="2849AB4F" w14:textId="66B889BF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2D3DBB62" w14:textId="77777777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089457E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278E1DA4" w14:textId="3D3BDC33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1213D2C1" w14:textId="3C7B59CF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23488" w:rsidRPr="0009161A" w14:paraId="1800E859" w14:textId="77777777" w:rsidTr="00E0648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27A59" w14:textId="77777777" w:rsidR="00D23488" w:rsidRPr="0009161A" w:rsidRDefault="00D23488" w:rsidP="00D2348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BAC85C4" w14:textId="4503F036" w:rsidR="00D23488" w:rsidRDefault="00D23488" w:rsidP="00D2348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delivering effective and appropriate intervention programmes and strategies.</w:t>
            </w:r>
          </w:p>
        </w:tc>
        <w:tc>
          <w:tcPr>
            <w:tcW w:w="425" w:type="dxa"/>
          </w:tcPr>
          <w:p w14:paraId="24949D73" w14:textId="2BEA49B5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74691852" w14:textId="77777777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ED6EFEE" w14:textId="561A796C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16BF7E44" w14:textId="50B107D0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4B5BB378" w14:textId="32859FC3" w:rsidR="00D23488" w:rsidRPr="0009161A" w:rsidRDefault="00D23488" w:rsidP="00D2348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A3DA7" w:rsidRPr="0009161A" w14:paraId="6955FCA0" w14:textId="77777777" w:rsidTr="00E0648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560832C" w14:textId="284FAC9F" w:rsidR="004A3DA7" w:rsidRPr="0009161A" w:rsidRDefault="004A3DA7" w:rsidP="004A3DA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425" w:type="dxa"/>
          </w:tcPr>
          <w:p w14:paraId="2295156A" w14:textId="63312666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4C634299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6F9B0CD7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45F8E1C9" w14:textId="2A4882A0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77FABDF3" w14:textId="3AC80AF8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A3DA7" w:rsidRPr="0009161A" w14:paraId="07D15E5E" w14:textId="77777777" w:rsidTr="00E0648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4B23E8A" w14:textId="1BCF99EE" w:rsidR="004A3DA7" w:rsidRPr="0009161A" w:rsidRDefault="004A3DA7" w:rsidP="004A3DA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effectively with complex situations involving families and young people</w:t>
            </w:r>
          </w:p>
        </w:tc>
        <w:tc>
          <w:tcPr>
            <w:tcW w:w="425" w:type="dxa"/>
          </w:tcPr>
          <w:p w14:paraId="6515FAF0" w14:textId="27599394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1748BBFB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327F532F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750975F5" w14:textId="59A6F150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06FF3643" w14:textId="74846F96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A3DA7" w:rsidRPr="0009161A" w14:paraId="2D1090C5" w14:textId="77777777" w:rsidTr="00E0648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DA05E44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C4D224D" w14:textId="2C1DA419" w:rsidR="004A3DA7" w:rsidRDefault="004A3DA7" w:rsidP="004A3DA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425" w:type="dxa"/>
          </w:tcPr>
          <w:p w14:paraId="3629EEBE" w14:textId="17B9D26B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01B8B1CA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5893FCB" w14:textId="4ECA0F56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1D610513" w14:textId="38BB467C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2E0C6878" w14:textId="038BE0A3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A3DA7" w:rsidRPr="0009161A" w14:paraId="7879B031" w14:textId="77777777" w:rsidTr="00E0648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5480141" w14:textId="615C5C6A" w:rsidR="004A3DA7" w:rsidRPr="0009161A" w:rsidRDefault="004A3DA7" w:rsidP="004A3DA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training and coaching colleagues</w:t>
            </w:r>
          </w:p>
        </w:tc>
        <w:tc>
          <w:tcPr>
            <w:tcW w:w="425" w:type="dxa"/>
          </w:tcPr>
          <w:p w14:paraId="7664F593" w14:textId="28357BAC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7" w:type="dxa"/>
          </w:tcPr>
          <w:p w14:paraId="1A2DF5E0" w14:textId="77777777" w:rsidR="004A3DA7" w:rsidRPr="0009161A" w:rsidRDefault="004A3DA7" w:rsidP="004A3DA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26D640A4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96" w:type="dxa"/>
          </w:tcPr>
          <w:p w14:paraId="223834C8" w14:textId="047A8E2D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396" w:type="dxa"/>
          </w:tcPr>
          <w:p w14:paraId="614D95D3" w14:textId="6CAD0978" w:rsidR="004A3DA7" w:rsidRPr="0009161A" w:rsidRDefault="004A3DA7" w:rsidP="004A3DA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53F65" w:rsidRPr="0009161A" w14:paraId="7F98EC17" w14:textId="77777777" w:rsidTr="001161F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153F65" w:rsidRPr="0009161A" w:rsidRDefault="00153F65" w:rsidP="00153F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53F65" w:rsidRPr="0009161A" w:rsidRDefault="00153F65" w:rsidP="00153F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53F65" w:rsidRPr="0009161A" w:rsidRDefault="00153F65" w:rsidP="00153F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53F65" w:rsidRPr="0009161A" w:rsidRDefault="00153F65" w:rsidP="00153F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53F65" w:rsidRPr="0009161A" w:rsidRDefault="00153F65" w:rsidP="00153F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53F65" w:rsidRPr="0009161A" w:rsidRDefault="00153F65" w:rsidP="00153F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53F65" w:rsidRPr="0009161A" w:rsidRDefault="00153F65" w:rsidP="00153F6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2B498E7" w14:textId="6A9DD968" w:rsidR="00153F65" w:rsidRPr="0009161A" w:rsidRDefault="00153F65" w:rsidP="00153F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lastRenderedPageBreak/>
              <w:t>Ability to build and maintain effective working relationships with pupils and parents/carers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255AB694" w14:textId="44AA63DE" w:rsidR="00153F65" w:rsidRPr="0009161A" w:rsidRDefault="00153F65" w:rsidP="00153F6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241B0B62" w14:textId="57C60381" w:rsidR="00153F65" w:rsidRPr="0009161A" w:rsidRDefault="00153F65" w:rsidP="00153F6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62814D1E" w:rsidR="00153F65" w:rsidRPr="0009161A" w:rsidRDefault="00153F65" w:rsidP="00153F6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0B48BCD8" w14:textId="15786F43" w:rsidR="00153F65" w:rsidRPr="0009161A" w:rsidRDefault="00153F65" w:rsidP="00153F6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008168AA" w14:textId="48511E61" w:rsidR="00153F65" w:rsidRPr="0009161A" w:rsidRDefault="00153F65" w:rsidP="00153F6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3039B39C" w14:textId="77777777" w:rsidTr="001161F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82FF9DD" w14:textId="6B073C30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 build and maintain effective working relationships with internal colleagues and external agencies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391591F" w14:textId="0F9CEC2F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6A14B8D3" w14:textId="121D8C89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12A525DC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760DB715" w14:textId="64AA2457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0735A64E" w14:textId="6E40F904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2BF35DA1" w14:textId="77777777" w:rsidTr="001161F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C31A690" w14:textId="4D9DFF5F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effectively with a wide range of stakeholders using a variety of media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7CFB987" w14:textId="415AAF29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770D5A5D" w14:textId="4EFE94F4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17A54569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6CF34935" w14:textId="3A648EC8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4C4C7362" w14:textId="3EC66CFE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0D76CAB8" w14:textId="77777777" w:rsidTr="001161F1">
        <w:trPr>
          <w:trHeight w:val="192"/>
        </w:trPr>
        <w:tc>
          <w:tcPr>
            <w:tcW w:w="2014" w:type="dxa"/>
            <w:shd w:val="clear" w:color="auto" w:fill="00BCB4"/>
          </w:tcPr>
          <w:p w14:paraId="23588253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58C644D" w14:textId="5D501A0C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hold difficult conversations confidently and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45F08FA6" w14:textId="65042D07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38C3BD8E" w14:textId="6C404A3F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484BB9CA" w14:textId="796D3185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1C2365FB" w14:textId="6D11A50A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150C21BB" w14:textId="58F555DC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42D92CD8" w14:textId="77777777" w:rsidTr="001161F1">
        <w:trPr>
          <w:trHeight w:val="192"/>
        </w:trPr>
        <w:tc>
          <w:tcPr>
            <w:tcW w:w="2014" w:type="dxa"/>
            <w:shd w:val="clear" w:color="auto" w:fill="00BCB4"/>
          </w:tcPr>
          <w:p w14:paraId="02152F0B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1BA75B1" w14:textId="56EBC20C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produce reports in appropriate formats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941BFB9" w14:textId="2D801A21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1A65046E" w14:textId="267740AD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067B532" w14:textId="47F8FAC6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159F12B6" w14:textId="35B9542C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129D97E7" w14:textId="21DEF873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443DE7D0" w14:textId="77777777" w:rsidTr="001161F1">
        <w:trPr>
          <w:trHeight w:val="192"/>
        </w:trPr>
        <w:tc>
          <w:tcPr>
            <w:tcW w:w="2014" w:type="dxa"/>
            <w:shd w:val="clear" w:color="auto" w:fill="00BCB4"/>
          </w:tcPr>
          <w:p w14:paraId="725F4ABA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CC2C4EB" w14:textId="56F6CBE1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analyse and evaluate data to identify</w:t>
            </w:r>
            <w:r w:rsidR="00D23488">
              <w:rPr>
                <w:rStyle w:val="normaltextrun"/>
                <w:rFonts w:ascii="Nunito" w:hAnsi="Nunito" w:cs="Segoe UI"/>
                <w:szCs w:val="22"/>
              </w:rPr>
              <w:t>, student needs and appropriate strategies to overcome barriers to learning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709553E" w14:textId="246DD0B8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6C181E9C" w14:textId="23ECD7D3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745B46DF" w14:textId="50206DE0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6CBAD11F" w14:textId="07241B5F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55F572B2" w14:textId="0F3ABBB2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4A5F0B72" w14:textId="77777777" w:rsidTr="001161F1">
        <w:trPr>
          <w:trHeight w:val="192"/>
        </w:trPr>
        <w:tc>
          <w:tcPr>
            <w:tcW w:w="2014" w:type="dxa"/>
            <w:shd w:val="clear" w:color="auto" w:fill="00BCB4"/>
          </w:tcPr>
          <w:p w14:paraId="4DAF9CE0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221E68" w14:textId="5B3F4745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prioritise workload effectively to meet deadlines and work under pressure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8F55E3C" w14:textId="259E1755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282D1790" w14:textId="3CF1D59F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64EDBB23" w14:textId="249D0204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0F312707" w14:textId="36631158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6BB2EDF0" w14:textId="119D3829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2294589D" w14:textId="77777777" w:rsidTr="001161F1">
        <w:trPr>
          <w:trHeight w:val="192"/>
        </w:trPr>
        <w:tc>
          <w:tcPr>
            <w:tcW w:w="2014" w:type="dxa"/>
            <w:shd w:val="clear" w:color="auto" w:fill="00BCB4"/>
          </w:tcPr>
          <w:p w14:paraId="3B88E1A8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D45C3CC" w14:textId="5780328B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ICT and </w:t>
            </w:r>
            <w:proofErr w:type="gramStart"/>
            <w:r>
              <w:rPr>
                <w:rStyle w:val="normaltextrun"/>
                <w:rFonts w:ascii="Nunito" w:hAnsi="Nunito" w:cs="Segoe UI"/>
                <w:szCs w:val="22"/>
              </w:rPr>
              <w:t>other</w:t>
            </w:r>
            <w:proofErr w:type="gramEnd"/>
            <w:r>
              <w:rPr>
                <w:rStyle w:val="normaltextrun"/>
                <w:rFonts w:ascii="Nunito" w:hAnsi="Nunito" w:cs="Segoe UI"/>
                <w:szCs w:val="22"/>
              </w:rPr>
              <w:t> specialist equipment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487533D0" w14:textId="6C1FDA6E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53519012" w14:textId="1D0BA94C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7B10F6C0" w14:textId="636A7B7C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54D71963" w14:textId="07102AB4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5AF5CBB2" w14:textId="1242E906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6513D30F" w14:textId="77777777" w:rsidTr="001161F1">
        <w:trPr>
          <w:trHeight w:val="192"/>
        </w:trPr>
        <w:tc>
          <w:tcPr>
            <w:tcW w:w="2014" w:type="dxa"/>
            <w:shd w:val="clear" w:color="auto" w:fill="00BCB4"/>
          </w:tcPr>
          <w:p w14:paraId="5BE9D967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54638A2" w14:textId="2BF25669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software, spreadsheets, databases and other packages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1F76E20" w14:textId="0AE9BBB6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6C48A235" w14:textId="43D2E61F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983AA44" w14:textId="0CD30529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0B27B278" w14:textId="1679BDD4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0CF66F2D" w14:textId="57742FE0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153F65" w:rsidRPr="00C94DD7" w14:paraId="440198B2" w14:textId="77777777" w:rsidTr="001161F1">
        <w:trPr>
          <w:trHeight w:val="192"/>
        </w:trPr>
        <w:tc>
          <w:tcPr>
            <w:tcW w:w="2014" w:type="dxa"/>
            <w:shd w:val="clear" w:color="auto" w:fill="00BCB4"/>
          </w:tcPr>
          <w:p w14:paraId="3CD922B6" w14:textId="77777777" w:rsidR="00153F65" w:rsidRPr="00C94DD7" w:rsidRDefault="00153F65" w:rsidP="00153F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1157A07" w14:textId="109E4F56" w:rsidR="00153F65" w:rsidRPr="00C94DD7" w:rsidRDefault="00153F65" w:rsidP="00153F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effectively within a team environment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5FF75D8B" w14:textId="648E49CF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7" w:type="dxa"/>
          </w:tcPr>
          <w:p w14:paraId="2FCC9934" w14:textId="41B279FE" w:rsidR="00153F65" w:rsidRPr="00C94DD7" w:rsidRDefault="00153F65" w:rsidP="00153F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71E3575" w14:textId="76FEDF69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96" w:type="dxa"/>
          </w:tcPr>
          <w:p w14:paraId="3CF5B3FA" w14:textId="2ACDACB1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396" w:type="dxa"/>
          </w:tcPr>
          <w:p w14:paraId="39065BEE" w14:textId="2F66CB5B" w:rsidR="00153F65" w:rsidRPr="00C94DD7" w:rsidRDefault="00153F65" w:rsidP="00153F6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9802" w14:textId="77777777" w:rsidR="00A8122A" w:rsidRDefault="00A8122A" w:rsidP="00984683">
      <w:r>
        <w:separator/>
      </w:r>
    </w:p>
  </w:endnote>
  <w:endnote w:type="continuationSeparator" w:id="0">
    <w:p w14:paraId="0F2DF8B4" w14:textId="77777777" w:rsidR="00A8122A" w:rsidRDefault="00A8122A" w:rsidP="00984683">
      <w:r>
        <w:continuationSeparator/>
      </w:r>
    </w:p>
  </w:endnote>
  <w:endnote w:type="continuationNotice" w:id="1">
    <w:p w14:paraId="41C1EE21" w14:textId="77777777" w:rsidR="00A8122A" w:rsidRDefault="00A81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36664B50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11818">
            <w:rPr>
              <w:sz w:val="18"/>
              <w:szCs w:val="18"/>
            </w:rPr>
            <w:t>18/05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C517" w14:textId="77777777" w:rsidR="00A8122A" w:rsidRDefault="00A8122A" w:rsidP="00984683">
      <w:r>
        <w:separator/>
      </w:r>
    </w:p>
  </w:footnote>
  <w:footnote w:type="continuationSeparator" w:id="0">
    <w:p w14:paraId="4594A63B" w14:textId="77777777" w:rsidR="00A8122A" w:rsidRDefault="00A8122A" w:rsidP="00984683">
      <w:r>
        <w:continuationSeparator/>
      </w:r>
    </w:p>
  </w:footnote>
  <w:footnote w:type="continuationNotice" w:id="1">
    <w:p w14:paraId="62BFA667" w14:textId="77777777" w:rsidR="00A8122A" w:rsidRDefault="00A81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FCD"/>
    <w:multiLevelType w:val="hybridMultilevel"/>
    <w:tmpl w:val="8054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DEA"/>
    <w:multiLevelType w:val="hybridMultilevel"/>
    <w:tmpl w:val="9F36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6D62"/>
    <w:multiLevelType w:val="hybridMultilevel"/>
    <w:tmpl w:val="234C7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48E3"/>
    <w:multiLevelType w:val="hybridMultilevel"/>
    <w:tmpl w:val="DB7CD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A23"/>
    <w:multiLevelType w:val="hybridMultilevel"/>
    <w:tmpl w:val="B7780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717B7"/>
    <w:multiLevelType w:val="hybridMultilevel"/>
    <w:tmpl w:val="9970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3FD1"/>
    <w:multiLevelType w:val="hybridMultilevel"/>
    <w:tmpl w:val="FF981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14F74"/>
    <w:multiLevelType w:val="hybridMultilevel"/>
    <w:tmpl w:val="C87CD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001B3"/>
    <w:multiLevelType w:val="hybridMultilevel"/>
    <w:tmpl w:val="D8BE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86146"/>
    <w:multiLevelType w:val="hybridMultilevel"/>
    <w:tmpl w:val="EE9A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D5A30"/>
    <w:multiLevelType w:val="hybridMultilevel"/>
    <w:tmpl w:val="421C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031EFB"/>
    <w:multiLevelType w:val="hybridMultilevel"/>
    <w:tmpl w:val="5A8C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5"/>
  </w:num>
  <w:num w:numId="5">
    <w:abstractNumId w:val="14"/>
  </w:num>
  <w:num w:numId="6">
    <w:abstractNumId w:val="9"/>
  </w:num>
  <w:num w:numId="7">
    <w:abstractNumId w:val="18"/>
  </w:num>
  <w:num w:numId="8">
    <w:abstractNumId w:val="29"/>
  </w:num>
  <w:num w:numId="9">
    <w:abstractNumId w:val="27"/>
  </w:num>
  <w:num w:numId="10">
    <w:abstractNumId w:val="13"/>
  </w:num>
  <w:num w:numId="11">
    <w:abstractNumId w:val="6"/>
  </w:num>
  <w:num w:numId="12">
    <w:abstractNumId w:val="30"/>
  </w:num>
  <w:num w:numId="13">
    <w:abstractNumId w:val="20"/>
  </w:num>
  <w:num w:numId="14">
    <w:abstractNumId w:val="21"/>
  </w:num>
  <w:num w:numId="15">
    <w:abstractNumId w:val="22"/>
  </w:num>
  <w:num w:numId="16">
    <w:abstractNumId w:val="15"/>
  </w:num>
  <w:num w:numId="17">
    <w:abstractNumId w:val="31"/>
  </w:num>
  <w:num w:numId="18">
    <w:abstractNumId w:val="12"/>
  </w:num>
  <w:num w:numId="19">
    <w:abstractNumId w:val="23"/>
  </w:num>
  <w:num w:numId="20">
    <w:abstractNumId w:val="26"/>
  </w:num>
  <w:num w:numId="21">
    <w:abstractNumId w:val="3"/>
  </w:num>
  <w:num w:numId="22">
    <w:abstractNumId w:val="17"/>
  </w:num>
  <w:num w:numId="23">
    <w:abstractNumId w:val="4"/>
  </w:num>
  <w:num w:numId="24">
    <w:abstractNumId w:val="10"/>
  </w:num>
  <w:num w:numId="25">
    <w:abstractNumId w:val="25"/>
  </w:num>
  <w:num w:numId="26">
    <w:abstractNumId w:val="2"/>
  </w:num>
  <w:num w:numId="27">
    <w:abstractNumId w:val="19"/>
  </w:num>
  <w:num w:numId="28">
    <w:abstractNumId w:val="7"/>
  </w:num>
  <w:num w:numId="29">
    <w:abstractNumId w:val="32"/>
  </w:num>
  <w:num w:numId="30">
    <w:abstractNumId w:val="1"/>
  </w:num>
  <w:num w:numId="31">
    <w:abstractNumId w:val="8"/>
  </w:num>
  <w:num w:numId="32">
    <w:abstractNumId w:val="28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15E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3F65"/>
    <w:rsid w:val="00160A52"/>
    <w:rsid w:val="00164712"/>
    <w:rsid w:val="00177CC4"/>
    <w:rsid w:val="00194B88"/>
    <w:rsid w:val="001A547E"/>
    <w:rsid w:val="001B41A5"/>
    <w:rsid w:val="001D287D"/>
    <w:rsid w:val="001D4CAB"/>
    <w:rsid w:val="001D624F"/>
    <w:rsid w:val="001F0B19"/>
    <w:rsid w:val="001F4B3E"/>
    <w:rsid w:val="00203F04"/>
    <w:rsid w:val="00207C34"/>
    <w:rsid w:val="002106E1"/>
    <w:rsid w:val="002142D8"/>
    <w:rsid w:val="002257B1"/>
    <w:rsid w:val="0025078B"/>
    <w:rsid w:val="00250E1A"/>
    <w:rsid w:val="002512C1"/>
    <w:rsid w:val="00252459"/>
    <w:rsid w:val="002531AB"/>
    <w:rsid w:val="00256B96"/>
    <w:rsid w:val="00260456"/>
    <w:rsid w:val="00262D9E"/>
    <w:rsid w:val="00277C72"/>
    <w:rsid w:val="00285D30"/>
    <w:rsid w:val="00286805"/>
    <w:rsid w:val="0029195C"/>
    <w:rsid w:val="0029384D"/>
    <w:rsid w:val="002A060D"/>
    <w:rsid w:val="002C79AB"/>
    <w:rsid w:val="002E2B3B"/>
    <w:rsid w:val="002E2C72"/>
    <w:rsid w:val="002E684C"/>
    <w:rsid w:val="00304D14"/>
    <w:rsid w:val="00327A41"/>
    <w:rsid w:val="003437E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A3DA7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618A"/>
    <w:rsid w:val="005D2635"/>
    <w:rsid w:val="005E4D70"/>
    <w:rsid w:val="005E61D2"/>
    <w:rsid w:val="005F3CE9"/>
    <w:rsid w:val="006006AD"/>
    <w:rsid w:val="00610D0E"/>
    <w:rsid w:val="006307D4"/>
    <w:rsid w:val="00633D13"/>
    <w:rsid w:val="00643C4C"/>
    <w:rsid w:val="00645568"/>
    <w:rsid w:val="00645753"/>
    <w:rsid w:val="00661675"/>
    <w:rsid w:val="0066279E"/>
    <w:rsid w:val="00663CE1"/>
    <w:rsid w:val="006646A1"/>
    <w:rsid w:val="0066557C"/>
    <w:rsid w:val="00672CEE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B5A5D"/>
    <w:rsid w:val="006D37CF"/>
    <w:rsid w:val="006F59A1"/>
    <w:rsid w:val="006F7F4C"/>
    <w:rsid w:val="007121AD"/>
    <w:rsid w:val="007176EF"/>
    <w:rsid w:val="0072393A"/>
    <w:rsid w:val="00734523"/>
    <w:rsid w:val="007473AB"/>
    <w:rsid w:val="00756AA0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D78C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46F7"/>
    <w:rsid w:val="00837802"/>
    <w:rsid w:val="00852905"/>
    <w:rsid w:val="00861BE3"/>
    <w:rsid w:val="00870BFC"/>
    <w:rsid w:val="008755FF"/>
    <w:rsid w:val="00877014"/>
    <w:rsid w:val="00877F8C"/>
    <w:rsid w:val="008938FE"/>
    <w:rsid w:val="008B2915"/>
    <w:rsid w:val="008F05BE"/>
    <w:rsid w:val="008F651D"/>
    <w:rsid w:val="00931116"/>
    <w:rsid w:val="0093639C"/>
    <w:rsid w:val="009400AA"/>
    <w:rsid w:val="00946952"/>
    <w:rsid w:val="00955C93"/>
    <w:rsid w:val="009569A1"/>
    <w:rsid w:val="0096318C"/>
    <w:rsid w:val="00984683"/>
    <w:rsid w:val="00986172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122A"/>
    <w:rsid w:val="00A87375"/>
    <w:rsid w:val="00A93EEC"/>
    <w:rsid w:val="00AC311F"/>
    <w:rsid w:val="00AD2B59"/>
    <w:rsid w:val="00AD392D"/>
    <w:rsid w:val="00AD4BA5"/>
    <w:rsid w:val="00AF3F86"/>
    <w:rsid w:val="00B0432C"/>
    <w:rsid w:val="00B11818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B577D"/>
    <w:rsid w:val="00BC5099"/>
    <w:rsid w:val="00BC7DF2"/>
    <w:rsid w:val="00BD6D80"/>
    <w:rsid w:val="00BE1FFE"/>
    <w:rsid w:val="00BE2D92"/>
    <w:rsid w:val="00BE7379"/>
    <w:rsid w:val="00C00D23"/>
    <w:rsid w:val="00C01F25"/>
    <w:rsid w:val="00C106ED"/>
    <w:rsid w:val="00C114B4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3488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81BE6"/>
    <w:rsid w:val="00DB2A8A"/>
    <w:rsid w:val="00DB3811"/>
    <w:rsid w:val="00DB615C"/>
    <w:rsid w:val="00DC2947"/>
    <w:rsid w:val="00DD6B8B"/>
    <w:rsid w:val="00DD7B3A"/>
    <w:rsid w:val="00DE1E9C"/>
    <w:rsid w:val="00DF3148"/>
    <w:rsid w:val="00E0091A"/>
    <w:rsid w:val="00E04A7A"/>
    <w:rsid w:val="00E141BE"/>
    <w:rsid w:val="00E25051"/>
    <w:rsid w:val="00E25C64"/>
    <w:rsid w:val="00E3030D"/>
    <w:rsid w:val="00E330E4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0AD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53F65"/>
  </w:style>
  <w:style w:type="character" w:customStyle="1" w:styleId="eop">
    <w:name w:val="eop"/>
    <w:basedOn w:val="DefaultParagraphFont"/>
    <w:rsid w:val="0015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70171-1B1D-49ED-B8E0-41276F61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Sixsmith, Rachael</cp:lastModifiedBy>
  <cp:revision>2</cp:revision>
  <dcterms:created xsi:type="dcterms:W3CDTF">2020-07-27T08:34:00Z</dcterms:created>
  <dcterms:modified xsi:type="dcterms:W3CDTF">2020-07-27T08:34:00Z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