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4CB5" w14:textId="0F9C2574" w:rsidR="00BD27A9" w:rsidRPr="006475E2" w:rsidRDefault="00DA06B6" w:rsidP="00C870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75E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557A07" wp14:editId="4A6007B4">
            <wp:simplePos x="0" y="0"/>
            <wp:positionH relativeFrom="page">
              <wp:align>left</wp:align>
            </wp:positionH>
            <wp:positionV relativeFrom="paragraph">
              <wp:posOffset>-630555</wp:posOffset>
            </wp:positionV>
            <wp:extent cx="3778885" cy="628650"/>
            <wp:effectExtent l="0" t="0" r="0" b="0"/>
            <wp:wrapNone/>
            <wp:docPr id="11" name="Picture 1" descr="A black text on a white background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A black text on a white background&#10;&#10;Description automatically generated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D5263" w14:textId="3F824524" w:rsidR="001F69B0" w:rsidRPr="006475E2" w:rsidRDefault="00676367" w:rsidP="007E02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5E2">
        <w:rPr>
          <w:rFonts w:ascii="Arial" w:hAnsi="Arial" w:cs="Arial"/>
          <w:b/>
          <w:sz w:val="24"/>
          <w:szCs w:val="24"/>
        </w:rPr>
        <w:t xml:space="preserve">Independent </w:t>
      </w:r>
      <w:r w:rsidR="00857060" w:rsidRPr="006475E2">
        <w:rPr>
          <w:rFonts w:ascii="Arial" w:hAnsi="Arial" w:cs="Arial"/>
          <w:b/>
          <w:sz w:val="24"/>
          <w:szCs w:val="24"/>
        </w:rPr>
        <w:t>Scrutineer</w:t>
      </w:r>
      <w:r w:rsidRPr="006475E2">
        <w:rPr>
          <w:rFonts w:ascii="Arial" w:hAnsi="Arial" w:cs="Arial"/>
          <w:b/>
          <w:sz w:val="24"/>
          <w:szCs w:val="24"/>
        </w:rPr>
        <w:t xml:space="preserve"> of </w:t>
      </w:r>
    </w:p>
    <w:p w14:paraId="18396B1F" w14:textId="740E541C" w:rsidR="007E02E7" w:rsidRPr="006475E2" w:rsidRDefault="00676367" w:rsidP="007E02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5E2">
        <w:rPr>
          <w:rFonts w:ascii="Arial" w:hAnsi="Arial" w:cs="Arial"/>
          <w:b/>
          <w:sz w:val="24"/>
          <w:szCs w:val="24"/>
        </w:rPr>
        <w:t>B</w:t>
      </w:r>
      <w:r w:rsidR="00DA06B6" w:rsidRPr="006475E2">
        <w:rPr>
          <w:rFonts w:ascii="Arial" w:hAnsi="Arial" w:cs="Arial"/>
          <w:b/>
          <w:sz w:val="24"/>
          <w:szCs w:val="24"/>
        </w:rPr>
        <w:t>ury</w:t>
      </w:r>
      <w:r w:rsidRPr="006475E2">
        <w:rPr>
          <w:rFonts w:ascii="Arial" w:hAnsi="Arial" w:cs="Arial"/>
          <w:b/>
          <w:sz w:val="24"/>
          <w:szCs w:val="24"/>
        </w:rPr>
        <w:t xml:space="preserve"> Safeguarding </w:t>
      </w:r>
      <w:r w:rsidR="00857060" w:rsidRPr="006475E2">
        <w:rPr>
          <w:rFonts w:ascii="Arial" w:hAnsi="Arial" w:cs="Arial"/>
          <w:b/>
          <w:sz w:val="24"/>
          <w:szCs w:val="24"/>
        </w:rPr>
        <w:t>Children Partnership</w:t>
      </w:r>
      <w:r w:rsidR="006475E2" w:rsidRPr="006475E2">
        <w:rPr>
          <w:rFonts w:ascii="Arial" w:hAnsi="Arial" w:cs="Arial"/>
          <w:b/>
          <w:sz w:val="24"/>
          <w:szCs w:val="24"/>
        </w:rPr>
        <w:t xml:space="preserve"> (BSCP)</w:t>
      </w:r>
    </w:p>
    <w:p w14:paraId="5EFE9064" w14:textId="2B5BB729" w:rsidR="007E02E7" w:rsidRPr="006475E2" w:rsidRDefault="00857060" w:rsidP="007E02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5E2">
        <w:rPr>
          <w:rFonts w:ascii="Arial" w:hAnsi="Arial" w:cs="Arial"/>
          <w:b/>
          <w:sz w:val="24"/>
          <w:szCs w:val="24"/>
        </w:rPr>
        <w:t>Role Profile</w:t>
      </w:r>
    </w:p>
    <w:p w14:paraId="23009156" w14:textId="4A6D2C59" w:rsidR="00857060" w:rsidRPr="00857060" w:rsidRDefault="00857060" w:rsidP="00857060">
      <w:pPr>
        <w:shd w:val="clear" w:color="auto" w:fill="FFFFFF"/>
        <w:spacing w:before="240" w:after="30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8570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Role purpose</w:t>
      </w:r>
    </w:p>
    <w:p w14:paraId="67D44537" w14:textId="3AC2B360" w:rsidR="00857060" w:rsidRPr="00857060" w:rsidRDefault="00857060" w:rsidP="00857060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041C2C"/>
          <w:sz w:val="24"/>
          <w:szCs w:val="24"/>
          <w:lang w:eastAsia="en-GB"/>
        </w:rPr>
      </w:pP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To provide independent, objective scrutiny of the effectiveness of local multi-agency arrangements to safeguard and promote the welfare of all children in </w:t>
      </w:r>
      <w:r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Bury</w:t>
      </w: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, including arrangements regarding Child Safeguarding Practice Reviews (CSPRs), assure the partnership implements the priorities, a quality assurance framework and analyse the impact of the partnership practice on children, young people and their families lived experience and outcomes.</w:t>
      </w:r>
    </w:p>
    <w:p w14:paraId="557038EE" w14:textId="77777777" w:rsidR="00857060" w:rsidRPr="00857060" w:rsidRDefault="00857060" w:rsidP="00857060">
      <w:pPr>
        <w:shd w:val="clear" w:color="auto" w:fill="FFFFFF"/>
        <w:spacing w:before="240" w:after="30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8570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Key responsibilities</w:t>
      </w:r>
    </w:p>
    <w:p w14:paraId="4D44D628" w14:textId="5A683780" w:rsidR="00857060" w:rsidRPr="00857060" w:rsidRDefault="00857060" w:rsidP="008570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41C2C"/>
          <w:sz w:val="24"/>
          <w:szCs w:val="24"/>
          <w:lang w:eastAsia="en-GB"/>
        </w:rPr>
      </w:pP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To provide objective scrutiny, constructive challenge, appreciative inquiry and provide assurance in judging the effectiveness of multi-agency arrangements with a focus on practice</w:t>
      </w:r>
      <w:r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.</w:t>
      </w:r>
    </w:p>
    <w:p w14:paraId="64D8923F" w14:textId="6B260A3B" w:rsidR="00857060" w:rsidRPr="00857060" w:rsidRDefault="00857060" w:rsidP="008570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41C2C"/>
          <w:sz w:val="24"/>
          <w:szCs w:val="24"/>
          <w:lang w:eastAsia="en-GB"/>
        </w:rPr>
      </w:pP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Be an independent and objective voice that listens to and represents the views of all safeguarding partners, </w:t>
      </w:r>
      <w:proofErr w:type="gramStart"/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children</w:t>
      </w:r>
      <w:proofErr w:type="gramEnd"/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 and families</w:t>
      </w:r>
      <w:r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.</w:t>
      </w:r>
    </w:p>
    <w:p w14:paraId="636F734B" w14:textId="2D636661" w:rsidR="00857060" w:rsidRPr="00857060" w:rsidRDefault="00857060" w:rsidP="008570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41C2C"/>
          <w:sz w:val="24"/>
          <w:szCs w:val="24"/>
          <w:lang w:eastAsia="en-GB"/>
        </w:rPr>
      </w:pP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Consider how effectively safeguarding partners are providing strong leadership and fulfilling their responsibilities with integrity</w:t>
      </w:r>
      <w:r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.</w:t>
      </w:r>
    </w:p>
    <w:p w14:paraId="45A7007A" w14:textId="0DD51BB3" w:rsidR="00857060" w:rsidRPr="00857060" w:rsidRDefault="00857060" w:rsidP="008570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41C2C"/>
          <w:sz w:val="24"/>
          <w:szCs w:val="24"/>
          <w:lang w:eastAsia="en-GB"/>
        </w:rPr>
      </w:pP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Scrutinise the implementation and impact of </w:t>
      </w:r>
      <w:r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audits and learning. </w:t>
      </w:r>
    </w:p>
    <w:p w14:paraId="32CA284E" w14:textId="2906C79A" w:rsidR="00857060" w:rsidRPr="00857060" w:rsidRDefault="00857060" w:rsidP="008570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41C2C"/>
          <w:sz w:val="24"/>
          <w:szCs w:val="24"/>
          <w:lang w:eastAsia="en-GB"/>
        </w:rPr>
      </w:pP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Undertake an annual review of the safeguarding partnership arrangements and provide an </w:t>
      </w:r>
      <w:proofErr w:type="gramStart"/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evidence based</w:t>
      </w:r>
      <w:proofErr w:type="gramEnd"/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 scrutineer report to </w:t>
      </w:r>
      <w:r w:rsidR="006475E2"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BSCP</w:t>
      </w: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, elected members scrutiny, chief officers and </w:t>
      </w:r>
      <w:r w:rsidR="006475E2"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Bury’s</w:t>
      </w: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 Health and Wellbeing Board on progress, highlighting areas which require focus for improvement which will contribute to the </w:t>
      </w:r>
      <w:r w:rsidR="006475E2"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BSCP </w:t>
      </w: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annual report</w:t>
      </w:r>
      <w:r w:rsidR="006475E2"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.</w:t>
      </w:r>
    </w:p>
    <w:p w14:paraId="107905F7" w14:textId="77777777" w:rsidR="00857060" w:rsidRPr="00857060" w:rsidRDefault="00857060" w:rsidP="008570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41C2C"/>
          <w:sz w:val="24"/>
          <w:szCs w:val="24"/>
          <w:lang w:eastAsia="en-GB"/>
        </w:rPr>
      </w:pP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Assessment of activity and desktop review of papers to hold partner organisations accountable for the effective and timely implementation of recommendations identified from scrutiny activities and safeguarding practice reviews.</w:t>
      </w:r>
    </w:p>
    <w:p w14:paraId="0DE68F1A" w14:textId="3928C9C7" w:rsidR="00857060" w:rsidRPr="00857060" w:rsidRDefault="00857060" w:rsidP="008570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41C2C"/>
          <w:sz w:val="24"/>
          <w:szCs w:val="24"/>
          <w:lang w:eastAsia="en-GB"/>
        </w:rPr>
      </w:pP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Provide assurance that effective safeguarding performance management, audit and quality assurance mechanisms are in place within single agencies to enable </w:t>
      </w:r>
      <w:r w:rsidR="006475E2"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BSCP</w:t>
      </w: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 to fulfil its statutory obligations and measure its impact</w:t>
      </w:r>
      <w:r w:rsidR="006475E2"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.</w:t>
      </w:r>
    </w:p>
    <w:p w14:paraId="610C9F07" w14:textId="6CD1B972" w:rsidR="00857060" w:rsidRPr="00857060" w:rsidRDefault="00857060" w:rsidP="008570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41C2C"/>
          <w:sz w:val="24"/>
          <w:szCs w:val="24"/>
          <w:lang w:eastAsia="en-GB"/>
        </w:rPr>
      </w:pP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Support safeguarding partners to identify priorities and content for the business plan</w:t>
      </w:r>
      <w:r w:rsidR="006475E2"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.</w:t>
      </w:r>
    </w:p>
    <w:p w14:paraId="3C3DAD6E" w14:textId="6D8ABD55" w:rsidR="00857060" w:rsidRPr="00857060" w:rsidRDefault="00857060" w:rsidP="008570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41C2C"/>
          <w:sz w:val="24"/>
          <w:szCs w:val="24"/>
          <w:lang w:eastAsia="en-GB"/>
        </w:rPr>
      </w:pP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Work with </w:t>
      </w:r>
      <w:r w:rsidR="006475E2"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Bury’s</w:t>
      </w: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 Joint Partnership Business Unit, to interpret performance data, multi-agency quality audit findings, and qualitative feedback from children, young </w:t>
      </w:r>
      <w:proofErr w:type="gramStart"/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people</w:t>
      </w:r>
      <w:proofErr w:type="gramEnd"/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 and their families, as well as </w:t>
      </w:r>
      <w:r w:rsidR="006475E2"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Bury’s</w:t>
      </w: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 front line practitioner workforce, which demonstrates the impact of the </w:t>
      </w:r>
      <w:r w:rsidR="006475E2"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BSCP</w:t>
      </w: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 governance arrangements on children, young people and families’ outcomes.</w:t>
      </w:r>
    </w:p>
    <w:p w14:paraId="25331F4B" w14:textId="2DE58099" w:rsidR="00857060" w:rsidRPr="00857060" w:rsidRDefault="00857060" w:rsidP="008570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41C2C"/>
          <w:sz w:val="24"/>
          <w:szCs w:val="24"/>
          <w:lang w:eastAsia="en-GB"/>
        </w:rPr>
      </w:pP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Scrutinise significant child safeguarding issues, ensuring Child Safeguarding Practice Reviews (CSPRs) are undertake</w:t>
      </w:r>
      <w:r w:rsidR="006475E2"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n</w:t>
      </w: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 in accordance with statutory guidance; review the decision making and rationale of Rapid Review </w:t>
      </w:r>
      <w:r w:rsidR="006475E2"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Screening </w:t>
      </w: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Meetings and act as liaison </w:t>
      </w: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lastRenderedPageBreak/>
        <w:t xml:space="preserve">between </w:t>
      </w:r>
      <w:r w:rsidR="006475E2"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BSCP</w:t>
      </w: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 and the National Child Safeguarding Practice Review Panel when required</w:t>
      </w:r>
      <w:r w:rsidR="006475E2"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.</w:t>
      </w:r>
    </w:p>
    <w:p w14:paraId="35443AEA" w14:textId="58832CBF" w:rsidR="00857060" w:rsidRPr="00857060" w:rsidRDefault="00857060" w:rsidP="008570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41C2C"/>
          <w:sz w:val="24"/>
          <w:szCs w:val="24"/>
          <w:lang w:eastAsia="en-GB"/>
        </w:rPr>
      </w:pP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In conjunction with the three statutory safeguarding partners, ensure key issues and national developments are fully considered and effectively implemented</w:t>
      </w:r>
      <w:r w:rsidR="006475E2"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.</w:t>
      </w:r>
    </w:p>
    <w:p w14:paraId="15950577" w14:textId="3B5879F2" w:rsidR="00857060" w:rsidRPr="00857060" w:rsidRDefault="00857060" w:rsidP="008570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41C2C"/>
          <w:sz w:val="24"/>
          <w:szCs w:val="24"/>
          <w:lang w:eastAsia="en-GB"/>
        </w:rPr>
      </w:pP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Meet with wider leadership as required</w:t>
      </w:r>
      <w:r w:rsidR="006475E2"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.</w:t>
      </w:r>
    </w:p>
    <w:p w14:paraId="10FF73A2" w14:textId="7FB44C87" w:rsidR="00857060" w:rsidRPr="00857060" w:rsidRDefault="00857060" w:rsidP="008570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41C2C"/>
          <w:sz w:val="24"/>
          <w:szCs w:val="24"/>
          <w:lang w:eastAsia="en-GB"/>
        </w:rPr>
      </w:pPr>
      <w:r w:rsidRPr="00857060">
        <w:rPr>
          <w:rFonts w:ascii="Arial" w:eastAsia="Times New Roman" w:hAnsi="Arial" w:cs="Arial"/>
          <w:color w:val="041C2C"/>
          <w:sz w:val="24"/>
          <w:szCs w:val="24"/>
          <w:lang w:eastAsia="en-GB"/>
        </w:rPr>
        <w:t>Lead on dispute resolution between partners</w:t>
      </w:r>
      <w:r w:rsidR="006475E2" w:rsidRPr="006475E2">
        <w:rPr>
          <w:rFonts w:ascii="Arial" w:eastAsia="Times New Roman" w:hAnsi="Arial" w:cs="Arial"/>
          <w:color w:val="041C2C"/>
          <w:sz w:val="24"/>
          <w:szCs w:val="24"/>
          <w:lang w:eastAsia="en-GB"/>
        </w:rPr>
        <w:t xml:space="preserve"> alongside the statutory safeguarding partners.</w:t>
      </w:r>
    </w:p>
    <w:p w14:paraId="79925CDD" w14:textId="3349F60D" w:rsidR="006475E2" w:rsidRDefault="006475E2">
      <w:pPr>
        <w:rPr>
          <w:rFonts w:ascii="Arial" w:hAnsi="Arial" w:cs="Arial"/>
          <w:b/>
          <w:sz w:val="24"/>
          <w:szCs w:val="24"/>
        </w:rPr>
      </w:pPr>
    </w:p>
    <w:p w14:paraId="560AA7E6" w14:textId="77777777" w:rsidR="006475E2" w:rsidRPr="00505F44" w:rsidRDefault="006475E2" w:rsidP="006475E2">
      <w:pPr>
        <w:pStyle w:val="Heading2"/>
        <w:shd w:val="clear" w:color="auto" w:fill="FFFFFF"/>
        <w:spacing w:before="240" w:beforeAutospacing="0" w:after="30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505F44">
        <w:rPr>
          <w:rFonts w:ascii="Arial" w:hAnsi="Arial" w:cs="Arial"/>
          <w:color w:val="000000" w:themeColor="text1"/>
          <w:sz w:val="24"/>
          <w:szCs w:val="24"/>
        </w:rPr>
        <w:t>Independent scrutineer role specification</w:t>
      </w:r>
    </w:p>
    <w:p w14:paraId="71D8187E" w14:textId="77777777" w:rsidR="006475E2" w:rsidRPr="00505F44" w:rsidRDefault="006475E2" w:rsidP="006475E2">
      <w:pPr>
        <w:pStyle w:val="Heading3"/>
        <w:shd w:val="clear" w:color="auto" w:fill="FFFFFF"/>
        <w:spacing w:before="240" w:after="300"/>
        <w:rPr>
          <w:rFonts w:ascii="Arial" w:hAnsi="Arial" w:cs="Arial"/>
          <w:color w:val="000000" w:themeColor="text1"/>
        </w:rPr>
      </w:pPr>
      <w:r w:rsidRPr="00505F44">
        <w:rPr>
          <w:rFonts w:ascii="Arial" w:hAnsi="Arial" w:cs="Arial"/>
          <w:color w:val="000000" w:themeColor="text1"/>
        </w:rPr>
        <w:t>Qualifications</w:t>
      </w:r>
    </w:p>
    <w:tbl>
      <w:tblPr>
        <w:tblW w:w="10065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9580"/>
      </w:tblGrid>
      <w:tr w:rsidR="006475E2" w:rsidRPr="006475E2" w14:paraId="11FF29B6" w14:textId="77777777" w:rsidTr="006475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0070C0"/>
            <w:vAlign w:val="center"/>
            <w:hideMark/>
          </w:tcPr>
          <w:p w14:paraId="230D8A0C" w14:textId="77777777" w:rsidR="006475E2" w:rsidRPr="006475E2" w:rsidRDefault="006475E2">
            <w:pPr>
              <w:spacing w:after="225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475E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 Ref</w:t>
            </w:r>
          </w:p>
        </w:tc>
        <w:tc>
          <w:tcPr>
            <w:tcW w:w="958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0070C0"/>
            <w:vAlign w:val="center"/>
            <w:hideMark/>
          </w:tcPr>
          <w:p w14:paraId="5975A9C7" w14:textId="77777777" w:rsidR="006475E2" w:rsidRPr="006475E2" w:rsidRDefault="006475E2">
            <w:pPr>
              <w:spacing w:after="225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475E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 Details</w:t>
            </w:r>
          </w:p>
        </w:tc>
      </w:tr>
      <w:tr w:rsidR="006475E2" w:rsidRPr="006475E2" w14:paraId="6657E3C5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EC9C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1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C6B6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Degree level education (or equivalent)</w:t>
            </w:r>
          </w:p>
        </w:tc>
      </w:tr>
      <w:tr w:rsidR="006475E2" w:rsidRPr="006475E2" w14:paraId="6059FF86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EA7D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2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99CC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A recognised professional qualification in a relevant discipline, including; social care, health, police or education or significant experience at a strategic management level including evidence of CPD / regular professional updates</w:t>
            </w:r>
          </w:p>
        </w:tc>
      </w:tr>
    </w:tbl>
    <w:p w14:paraId="77AC9E67" w14:textId="088989DF" w:rsidR="006475E2" w:rsidRPr="00505F44" w:rsidRDefault="006475E2" w:rsidP="006475E2">
      <w:pPr>
        <w:pStyle w:val="Heading3"/>
        <w:shd w:val="clear" w:color="auto" w:fill="FFFFFF"/>
        <w:spacing w:before="240" w:after="300"/>
        <w:rPr>
          <w:rFonts w:ascii="Arial" w:hAnsi="Arial" w:cs="Arial"/>
          <w:color w:val="000000" w:themeColor="text1"/>
        </w:rPr>
      </w:pPr>
      <w:r w:rsidRPr="00505F44">
        <w:rPr>
          <w:rFonts w:ascii="Arial" w:hAnsi="Arial" w:cs="Arial"/>
          <w:color w:val="000000" w:themeColor="text1"/>
        </w:rPr>
        <w:t>Knowledge and experience</w:t>
      </w:r>
    </w:p>
    <w:tbl>
      <w:tblPr>
        <w:tblW w:w="10065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9581"/>
      </w:tblGrid>
      <w:tr w:rsidR="006475E2" w:rsidRPr="006475E2" w14:paraId="3BB5AD30" w14:textId="77777777" w:rsidTr="006475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0070C0"/>
            <w:vAlign w:val="center"/>
            <w:hideMark/>
          </w:tcPr>
          <w:p w14:paraId="62269DD0" w14:textId="77777777" w:rsidR="006475E2" w:rsidRPr="006475E2" w:rsidRDefault="006475E2">
            <w:pPr>
              <w:spacing w:after="225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475E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 Ref</w:t>
            </w:r>
          </w:p>
        </w:tc>
        <w:tc>
          <w:tcPr>
            <w:tcW w:w="9581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0070C0"/>
            <w:vAlign w:val="center"/>
            <w:hideMark/>
          </w:tcPr>
          <w:p w14:paraId="7E8126AD" w14:textId="77777777" w:rsidR="006475E2" w:rsidRPr="006475E2" w:rsidRDefault="006475E2">
            <w:pPr>
              <w:spacing w:after="225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475E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 Details</w:t>
            </w:r>
          </w:p>
        </w:tc>
      </w:tr>
      <w:tr w:rsidR="006475E2" w:rsidRPr="006475E2" w14:paraId="3CF9E920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EB78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3D0E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Substantial experience of working at a senior strategic level within an agency which has operational responsibility in the safeguarding children context</w:t>
            </w:r>
          </w:p>
        </w:tc>
      </w:tr>
      <w:tr w:rsidR="006475E2" w:rsidRPr="006475E2" w14:paraId="52D351F7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3C74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0C8D" w14:textId="5454410B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 xml:space="preserve">Extensive knowledge of the safeguarding agenda, including legislation, guidance, </w:t>
            </w:r>
            <w:proofErr w:type="gramStart"/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policy</w:t>
            </w:r>
            <w:proofErr w:type="gramEnd"/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 xml:space="preserve"> and partnership regulatory Inspection Frameworks, with a comprehensive understanding of Working Together 20</w:t>
            </w:r>
            <w:r w:rsidR="001F6257">
              <w:rPr>
                <w:rFonts w:ascii="Arial" w:hAnsi="Arial" w:cs="Arial"/>
                <w:color w:val="041C2C"/>
                <w:sz w:val="24"/>
                <w:szCs w:val="24"/>
              </w:rPr>
              <w:t>23</w:t>
            </w: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, current national government guidance / legislation developments and what this means for local partnerships, statutory agencies and voluntary organisations</w:t>
            </w:r>
          </w:p>
        </w:tc>
      </w:tr>
      <w:tr w:rsidR="006475E2" w:rsidRPr="006475E2" w14:paraId="323D2120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5B48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97DF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Knowledge of operations of key safeguarding partners and networks</w:t>
            </w:r>
          </w:p>
        </w:tc>
      </w:tr>
      <w:tr w:rsidR="006475E2" w:rsidRPr="006475E2" w14:paraId="43007E74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9DAB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892E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Demonstrate the highest degree of legal literacy applicable to safeguarding children and having the ability to connect relevant legal statute with the professional priorities and objectives of multiple partners</w:t>
            </w:r>
          </w:p>
        </w:tc>
      </w:tr>
      <w:tr w:rsidR="006475E2" w:rsidRPr="006475E2" w14:paraId="34E7A791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12B1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7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CF03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Experience of working with and within multi-disciplinary strategic partnerships</w:t>
            </w:r>
          </w:p>
        </w:tc>
      </w:tr>
      <w:tr w:rsidR="006475E2" w:rsidRPr="006475E2" w14:paraId="24806684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3AB8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8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84E7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Significant experience of chairing complex professional meetings at a senior and strategic level</w:t>
            </w:r>
          </w:p>
        </w:tc>
      </w:tr>
      <w:tr w:rsidR="006475E2" w:rsidRPr="006475E2" w14:paraId="62E6F845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8C33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lastRenderedPageBreak/>
              <w:t>9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6DD9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Extensive experience of developing innovative approaches to assurance, inspection and quality improvement, workforce development and communications in a safeguarding context</w:t>
            </w:r>
          </w:p>
        </w:tc>
      </w:tr>
      <w:tr w:rsidR="006475E2" w:rsidRPr="006475E2" w14:paraId="0354F396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521F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10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4E0C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Experience of presenting and writing high quality reports for a range of audiences</w:t>
            </w:r>
          </w:p>
        </w:tc>
      </w:tr>
      <w:tr w:rsidR="006475E2" w:rsidRPr="006475E2" w14:paraId="129F105C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7112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11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A67E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 xml:space="preserve">Experience of undertaking safeguarding related assurance, </w:t>
            </w:r>
            <w:proofErr w:type="gramStart"/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inspection</w:t>
            </w:r>
            <w:proofErr w:type="gramEnd"/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 xml:space="preserve"> or scrutiny </w:t>
            </w:r>
          </w:p>
        </w:tc>
      </w:tr>
    </w:tbl>
    <w:p w14:paraId="7B435210" w14:textId="77777777" w:rsidR="006475E2" w:rsidRPr="006475E2" w:rsidRDefault="006475E2" w:rsidP="006475E2">
      <w:pPr>
        <w:pStyle w:val="Heading3"/>
        <w:shd w:val="clear" w:color="auto" w:fill="FFFFFF"/>
        <w:spacing w:before="240" w:after="300"/>
        <w:rPr>
          <w:rFonts w:ascii="Arial" w:hAnsi="Arial" w:cs="Arial"/>
          <w:color w:val="830065"/>
        </w:rPr>
      </w:pPr>
      <w:r w:rsidRPr="006475E2">
        <w:rPr>
          <w:rFonts w:ascii="Arial" w:hAnsi="Arial" w:cs="Arial"/>
          <w:color w:val="830065"/>
        </w:rPr>
        <w:t>Skills and abilities</w:t>
      </w:r>
    </w:p>
    <w:tbl>
      <w:tblPr>
        <w:tblW w:w="978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9296"/>
      </w:tblGrid>
      <w:tr w:rsidR="006475E2" w:rsidRPr="006475E2" w14:paraId="185366AF" w14:textId="77777777" w:rsidTr="006475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0070C0"/>
            <w:vAlign w:val="center"/>
            <w:hideMark/>
          </w:tcPr>
          <w:p w14:paraId="5FB7E9F4" w14:textId="77777777" w:rsidR="006475E2" w:rsidRPr="006475E2" w:rsidRDefault="006475E2">
            <w:pPr>
              <w:spacing w:after="225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475E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 Ref</w:t>
            </w:r>
          </w:p>
        </w:tc>
        <w:tc>
          <w:tcPr>
            <w:tcW w:w="9296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0070C0"/>
            <w:vAlign w:val="center"/>
            <w:hideMark/>
          </w:tcPr>
          <w:p w14:paraId="2D9716D3" w14:textId="77777777" w:rsidR="006475E2" w:rsidRPr="006475E2" w:rsidRDefault="006475E2">
            <w:pPr>
              <w:spacing w:after="225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475E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 Description</w:t>
            </w:r>
          </w:p>
        </w:tc>
      </w:tr>
      <w:tr w:rsidR="006475E2" w:rsidRPr="006475E2" w14:paraId="5E54E147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0CBB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12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54E1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 xml:space="preserve">A strong moral and ethical character demonstrating integrity, </w:t>
            </w:r>
            <w:proofErr w:type="gramStart"/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openness</w:t>
            </w:r>
            <w:proofErr w:type="gramEnd"/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 xml:space="preserve"> and trustworthiness</w:t>
            </w:r>
          </w:p>
        </w:tc>
      </w:tr>
      <w:tr w:rsidR="006475E2" w:rsidRPr="006475E2" w14:paraId="619B9A08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3AB4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13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0A66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 xml:space="preserve">Ability and enthusiasm for engaging with children, young </w:t>
            </w:r>
            <w:proofErr w:type="gramStart"/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people</w:t>
            </w:r>
            <w:proofErr w:type="gramEnd"/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 xml:space="preserve"> and families to ensure their voice and lived experience is at the heart of our safeguarding arrangements</w:t>
            </w:r>
          </w:p>
        </w:tc>
      </w:tr>
      <w:tr w:rsidR="006475E2" w:rsidRPr="006475E2" w14:paraId="1646C818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20D7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14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9C36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Excellent communication and presentation skills to speak with authority on safeguarding issues and engage a wide range of stakeholders and decision makers</w:t>
            </w:r>
          </w:p>
        </w:tc>
      </w:tr>
      <w:tr w:rsidR="006475E2" w:rsidRPr="006475E2" w14:paraId="089EFA43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F997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15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EA86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 xml:space="preserve">Demonstrable leadership, influencing skills and professional credibility to enable colleagues, </w:t>
            </w:r>
            <w:proofErr w:type="gramStart"/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peers</w:t>
            </w:r>
            <w:proofErr w:type="gramEnd"/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 xml:space="preserve"> and wider partners to contribute to developing a robust and responsive safeguarding environment</w:t>
            </w:r>
          </w:p>
        </w:tc>
      </w:tr>
      <w:tr w:rsidR="006475E2" w:rsidRPr="006475E2" w14:paraId="538F908E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9F2D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16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5C15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Ability to empower multi-agency activity for change and improvement</w:t>
            </w:r>
          </w:p>
        </w:tc>
      </w:tr>
      <w:tr w:rsidR="006475E2" w:rsidRPr="006475E2" w14:paraId="74F3FD17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8C66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17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05B7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Able to digest and analyse complex information and communicate these effectively to a range of audiences</w:t>
            </w:r>
          </w:p>
        </w:tc>
      </w:tr>
      <w:tr w:rsidR="006475E2" w:rsidRPr="006475E2" w14:paraId="5F6A193B" w14:textId="77777777" w:rsidTr="00647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63B9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18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087" w14:textId="77777777" w:rsidR="006475E2" w:rsidRPr="006475E2" w:rsidRDefault="006475E2">
            <w:pPr>
              <w:spacing w:after="225"/>
              <w:rPr>
                <w:rFonts w:ascii="Arial" w:hAnsi="Arial" w:cs="Arial"/>
                <w:color w:val="041C2C"/>
                <w:sz w:val="24"/>
                <w:szCs w:val="24"/>
              </w:rPr>
            </w:pPr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 xml:space="preserve">The confidence, </w:t>
            </w:r>
            <w:proofErr w:type="gramStart"/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>authority</w:t>
            </w:r>
            <w:proofErr w:type="gramEnd"/>
            <w:r w:rsidRPr="006475E2">
              <w:rPr>
                <w:rFonts w:ascii="Arial" w:hAnsi="Arial" w:cs="Arial"/>
                <w:color w:val="041C2C"/>
                <w:sz w:val="24"/>
                <w:szCs w:val="24"/>
              </w:rPr>
              <w:t xml:space="preserve"> and objectivity to positively influence, challenge practices, hold agencies accountable, manage conflict and professional disagreements</w:t>
            </w:r>
          </w:p>
        </w:tc>
      </w:tr>
    </w:tbl>
    <w:p w14:paraId="0456E380" w14:textId="77777777" w:rsidR="006475E2" w:rsidRPr="006475E2" w:rsidRDefault="006475E2" w:rsidP="006475E2">
      <w:pPr>
        <w:pStyle w:val="NormalWeb"/>
        <w:shd w:val="clear" w:color="auto" w:fill="FFFFFF"/>
        <w:spacing w:before="0" w:beforeAutospacing="0" w:after="300" w:afterAutospacing="0" w:line="345" w:lineRule="atLeast"/>
        <w:rPr>
          <w:rFonts w:ascii="Arial" w:hAnsi="Arial" w:cs="Arial"/>
          <w:color w:val="041C2C"/>
        </w:rPr>
      </w:pPr>
      <w:r w:rsidRPr="006475E2">
        <w:rPr>
          <w:rFonts w:ascii="Arial" w:hAnsi="Arial" w:cs="Arial"/>
          <w:color w:val="041C2C"/>
        </w:rPr>
        <w:t> </w:t>
      </w:r>
    </w:p>
    <w:p w14:paraId="125D4C33" w14:textId="77777777" w:rsidR="006475E2" w:rsidRPr="006475E2" w:rsidRDefault="006475E2">
      <w:pPr>
        <w:rPr>
          <w:rFonts w:ascii="Arial" w:hAnsi="Arial" w:cs="Arial"/>
          <w:b/>
          <w:sz w:val="24"/>
          <w:szCs w:val="24"/>
        </w:rPr>
      </w:pPr>
    </w:p>
    <w:sectPr w:rsidR="006475E2" w:rsidRPr="006475E2" w:rsidSect="00B9280A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CCB5" w14:textId="77777777" w:rsidR="00B9280A" w:rsidRDefault="00B9280A" w:rsidP="00C06207">
      <w:pPr>
        <w:spacing w:after="0" w:line="240" w:lineRule="auto"/>
      </w:pPr>
      <w:r>
        <w:separator/>
      </w:r>
    </w:p>
  </w:endnote>
  <w:endnote w:type="continuationSeparator" w:id="0">
    <w:p w14:paraId="23DA89AC" w14:textId="77777777" w:rsidR="00B9280A" w:rsidRDefault="00B9280A" w:rsidP="00C0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A8DF" w14:textId="77777777" w:rsidR="00B9280A" w:rsidRDefault="00B9280A" w:rsidP="00C06207">
      <w:pPr>
        <w:spacing w:after="0" w:line="240" w:lineRule="auto"/>
      </w:pPr>
      <w:r>
        <w:separator/>
      </w:r>
    </w:p>
  </w:footnote>
  <w:footnote w:type="continuationSeparator" w:id="0">
    <w:p w14:paraId="0F37C3EB" w14:textId="77777777" w:rsidR="00B9280A" w:rsidRDefault="00B9280A" w:rsidP="00C0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C7F"/>
    <w:multiLevelType w:val="hybridMultilevel"/>
    <w:tmpl w:val="9B7C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8EC"/>
    <w:multiLevelType w:val="hybridMultilevel"/>
    <w:tmpl w:val="D304F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1654"/>
    <w:multiLevelType w:val="hybridMultilevel"/>
    <w:tmpl w:val="7374C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5D75"/>
    <w:multiLevelType w:val="hybridMultilevel"/>
    <w:tmpl w:val="172A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819FD"/>
    <w:multiLevelType w:val="multilevel"/>
    <w:tmpl w:val="6EA0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15608"/>
    <w:multiLevelType w:val="multilevel"/>
    <w:tmpl w:val="2E560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950867"/>
    <w:multiLevelType w:val="hybridMultilevel"/>
    <w:tmpl w:val="1444B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707B3"/>
    <w:multiLevelType w:val="hybridMultilevel"/>
    <w:tmpl w:val="0098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15891"/>
    <w:multiLevelType w:val="hybridMultilevel"/>
    <w:tmpl w:val="6D68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2713E"/>
    <w:multiLevelType w:val="hybridMultilevel"/>
    <w:tmpl w:val="61D4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A4768"/>
    <w:multiLevelType w:val="hybridMultilevel"/>
    <w:tmpl w:val="377C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36AEC"/>
    <w:multiLevelType w:val="hybridMultilevel"/>
    <w:tmpl w:val="5A2E05E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528093">
    <w:abstractNumId w:val="1"/>
  </w:num>
  <w:num w:numId="2" w16cid:durableId="286393460">
    <w:abstractNumId w:val="5"/>
  </w:num>
  <w:num w:numId="3" w16cid:durableId="270088130">
    <w:abstractNumId w:val="7"/>
  </w:num>
  <w:num w:numId="4" w16cid:durableId="1672222665">
    <w:abstractNumId w:val="0"/>
  </w:num>
  <w:num w:numId="5" w16cid:durableId="1253665123">
    <w:abstractNumId w:val="9"/>
  </w:num>
  <w:num w:numId="6" w16cid:durableId="1337415748">
    <w:abstractNumId w:val="2"/>
  </w:num>
  <w:num w:numId="7" w16cid:durableId="1306616665">
    <w:abstractNumId w:val="10"/>
  </w:num>
  <w:num w:numId="8" w16cid:durableId="384456285">
    <w:abstractNumId w:val="3"/>
  </w:num>
  <w:num w:numId="9" w16cid:durableId="2111775711">
    <w:abstractNumId w:val="8"/>
  </w:num>
  <w:num w:numId="10" w16cid:durableId="1860965466">
    <w:abstractNumId w:val="6"/>
  </w:num>
  <w:num w:numId="11" w16cid:durableId="1767534470">
    <w:abstractNumId w:val="11"/>
  </w:num>
  <w:num w:numId="12" w16cid:durableId="155001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A9"/>
    <w:rsid w:val="000C0893"/>
    <w:rsid w:val="00106F8D"/>
    <w:rsid w:val="0011324C"/>
    <w:rsid w:val="0011773D"/>
    <w:rsid w:val="00170AC3"/>
    <w:rsid w:val="00173814"/>
    <w:rsid w:val="001A7597"/>
    <w:rsid w:val="001B3CF6"/>
    <w:rsid w:val="001D2A9D"/>
    <w:rsid w:val="001F6257"/>
    <w:rsid w:val="001F69B0"/>
    <w:rsid w:val="00224F65"/>
    <w:rsid w:val="00225473"/>
    <w:rsid w:val="00237F62"/>
    <w:rsid w:val="002A12D6"/>
    <w:rsid w:val="002D017E"/>
    <w:rsid w:val="002F2720"/>
    <w:rsid w:val="00347445"/>
    <w:rsid w:val="00364F71"/>
    <w:rsid w:val="00380C45"/>
    <w:rsid w:val="00462E76"/>
    <w:rsid w:val="004677BB"/>
    <w:rsid w:val="004A4FCC"/>
    <w:rsid w:val="004D61A0"/>
    <w:rsid w:val="00505F44"/>
    <w:rsid w:val="005659B2"/>
    <w:rsid w:val="00583FEB"/>
    <w:rsid w:val="005D73A5"/>
    <w:rsid w:val="006266B2"/>
    <w:rsid w:val="00633FD4"/>
    <w:rsid w:val="006475E2"/>
    <w:rsid w:val="0067344D"/>
    <w:rsid w:val="00676367"/>
    <w:rsid w:val="0068286D"/>
    <w:rsid w:val="006B400A"/>
    <w:rsid w:val="006F3E7F"/>
    <w:rsid w:val="0072372F"/>
    <w:rsid w:val="007C04BE"/>
    <w:rsid w:val="007D07DB"/>
    <w:rsid w:val="007D3FA9"/>
    <w:rsid w:val="007D76EC"/>
    <w:rsid w:val="007E02E7"/>
    <w:rsid w:val="00826C4C"/>
    <w:rsid w:val="00857060"/>
    <w:rsid w:val="00863A54"/>
    <w:rsid w:val="00872F21"/>
    <w:rsid w:val="008C73EC"/>
    <w:rsid w:val="00905C01"/>
    <w:rsid w:val="00962E6D"/>
    <w:rsid w:val="00985013"/>
    <w:rsid w:val="00A133B1"/>
    <w:rsid w:val="00A5114B"/>
    <w:rsid w:val="00A7267A"/>
    <w:rsid w:val="00A72C0D"/>
    <w:rsid w:val="00B02AFF"/>
    <w:rsid w:val="00B24002"/>
    <w:rsid w:val="00B35A85"/>
    <w:rsid w:val="00B57787"/>
    <w:rsid w:val="00B64943"/>
    <w:rsid w:val="00B76EB4"/>
    <w:rsid w:val="00B90ABA"/>
    <w:rsid w:val="00B9280A"/>
    <w:rsid w:val="00B92E2F"/>
    <w:rsid w:val="00BD27A9"/>
    <w:rsid w:val="00C02217"/>
    <w:rsid w:val="00C06207"/>
    <w:rsid w:val="00C263A4"/>
    <w:rsid w:val="00C870A2"/>
    <w:rsid w:val="00CB52B0"/>
    <w:rsid w:val="00D67170"/>
    <w:rsid w:val="00DA06B6"/>
    <w:rsid w:val="00E13B9B"/>
    <w:rsid w:val="00E20725"/>
    <w:rsid w:val="00E50F3B"/>
    <w:rsid w:val="00EF1438"/>
    <w:rsid w:val="00F158A0"/>
    <w:rsid w:val="00F24242"/>
    <w:rsid w:val="00F359AC"/>
    <w:rsid w:val="00F5353F"/>
    <w:rsid w:val="00F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92CA"/>
  <w15:docId w15:val="{59FB7850-EE8B-42B8-AE42-2430B384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7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5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2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4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207"/>
  </w:style>
  <w:style w:type="paragraph" w:styleId="Footer">
    <w:name w:val="footer"/>
    <w:basedOn w:val="Normal"/>
    <w:link w:val="FooterChar"/>
    <w:uiPriority w:val="99"/>
    <w:unhideWhenUsed/>
    <w:rsid w:val="00C0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07"/>
  </w:style>
  <w:style w:type="paragraph" w:styleId="Revision">
    <w:name w:val="Revision"/>
    <w:hidden/>
    <w:uiPriority w:val="99"/>
    <w:semiHidden/>
    <w:rsid w:val="00B76EB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570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ysafeguardingpartnership.bury.gov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3482-DFF3-45A4-B82D-0C17B168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Hardwick</dc:creator>
  <cp:lastModifiedBy>Moore, Heather</cp:lastModifiedBy>
  <cp:revision>17</cp:revision>
  <cp:lastPrinted>2015-04-01T10:55:00Z</cp:lastPrinted>
  <dcterms:created xsi:type="dcterms:W3CDTF">2023-01-31T10:56:00Z</dcterms:created>
  <dcterms:modified xsi:type="dcterms:W3CDTF">2024-04-05T15:42:00Z</dcterms:modified>
</cp:coreProperties>
</file>