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2FF3A571" w:rsidR="00553D0C" w:rsidRPr="001C6F01" w:rsidRDefault="009272A2" w:rsidP="001C6F01">
            <w:pPr>
              <w:rPr>
                <w:rFonts w:ascii="Arial" w:hAnsi="Arial" w:cs="Arial"/>
              </w:rPr>
            </w:pPr>
            <w:r>
              <w:rPr>
                <w:rFonts w:ascii="Arial" w:hAnsi="Arial" w:cs="Arial"/>
              </w:rPr>
              <w:t>Mental Health Social Worker</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66BFDE0A" w:rsidR="00553D0C" w:rsidRPr="001C6F01" w:rsidRDefault="009272A2" w:rsidP="001C6F01">
                <w:pPr>
                  <w:rPr>
                    <w:rFonts w:ascii="Arial" w:hAnsi="Arial" w:cs="Arial"/>
                  </w:rPr>
                </w:pPr>
                <w:r>
                  <w:rPr>
                    <w:rFonts w:ascii="Arial" w:hAnsi="Arial" w:cs="Arial"/>
                  </w:rPr>
                  <w:t>Working Age Mental Health Team</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969705A" w:rsidR="00553D0C" w:rsidRPr="001C6F01" w:rsidRDefault="009272A2" w:rsidP="001C6F01">
                <w:pPr>
                  <w:rPr>
                    <w:rFonts w:ascii="Arial" w:hAnsi="Arial" w:cs="Arial"/>
                  </w:rPr>
                </w:pPr>
                <w:r>
                  <w:rPr>
                    <w:rFonts w:ascii="Arial" w:hAnsi="Arial" w:cs="Arial"/>
                  </w:rPr>
                  <w:t>Services to People - Adults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5B1C9D2E" w:rsidR="00553D0C" w:rsidRPr="001C6F01" w:rsidRDefault="00127B6A" w:rsidP="001C6F01">
                <w:pPr>
                  <w:rPr>
                    <w:rFonts w:ascii="Arial" w:hAnsi="Arial" w:cs="Arial"/>
                  </w:rPr>
                </w:pPr>
                <w:r>
                  <w:rPr>
                    <w:rFonts w:ascii="Arial" w:hAnsi="Arial" w:cs="Arial"/>
                  </w:rPr>
                  <w:t xml:space="preserve"> </w:t>
                </w:r>
                <w:r w:rsidR="009272A2">
                  <w:rPr>
                    <w:rFonts w:ascii="Arial" w:hAnsi="Arial" w:cs="Arial"/>
                  </w:rPr>
                  <w:t xml:space="preserve">S02 </w:t>
                </w:r>
              </w:p>
            </w:tc>
            <w:bookmarkStart w:id="0" w:name="_GoBack" w:displacedByCustomXml="next"/>
            <w:bookmarkEnd w:id="0" w:displacedByCustomXml="next"/>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1C3E0CA4" w14:textId="4CBB8865" w:rsidR="009272A2" w:rsidRPr="009272A2" w:rsidRDefault="009272A2" w:rsidP="009272A2">
      <w:pPr>
        <w:spacing w:after="0" w:line="240" w:lineRule="auto"/>
        <w:jc w:val="both"/>
        <w:rPr>
          <w:rFonts w:ascii="Arial" w:eastAsia="Times New Roman" w:hAnsi="Arial" w:cs="Arial"/>
        </w:rPr>
      </w:pPr>
      <w:r w:rsidRPr="009272A2">
        <w:rPr>
          <w:rFonts w:ascii="Arial" w:eastAsia="Times New Roman" w:hAnsi="Arial" w:cs="Arial"/>
        </w:rPr>
        <w:t xml:space="preserve">The post holder will be accountable on a day to day basis to the Team Manager, who will allocate, monitor and review all work through regular informal and formal supervision. The post holder will also be professionally supported by other social workers within the </w:t>
      </w:r>
      <w:r>
        <w:rPr>
          <w:rFonts w:ascii="Arial" w:eastAsia="Times New Roman" w:hAnsi="Arial" w:cs="Arial"/>
        </w:rPr>
        <w:t>mental health</w:t>
      </w:r>
      <w:r w:rsidRPr="009272A2">
        <w:rPr>
          <w:rFonts w:ascii="Arial" w:eastAsia="Times New Roman" w:hAnsi="Arial" w:cs="Arial"/>
        </w:rPr>
        <w:t xml:space="preserve"> team.</w:t>
      </w:r>
    </w:p>
    <w:p w14:paraId="1377C00E" w14:textId="77777777" w:rsidR="009272A2" w:rsidRPr="009272A2" w:rsidRDefault="009272A2" w:rsidP="009272A2">
      <w:pPr>
        <w:spacing w:after="0" w:line="240" w:lineRule="auto"/>
        <w:jc w:val="both"/>
        <w:rPr>
          <w:rFonts w:ascii="Arial" w:eastAsia="Times New Roman" w:hAnsi="Arial" w:cs="Arial"/>
        </w:rPr>
      </w:pPr>
    </w:p>
    <w:p w14:paraId="740F8FB5" w14:textId="465F46D2" w:rsidR="009272A2" w:rsidRPr="009272A2" w:rsidRDefault="009272A2" w:rsidP="009272A2">
      <w:pPr>
        <w:spacing w:after="0" w:line="240" w:lineRule="auto"/>
        <w:jc w:val="both"/>
        <w:rPr>
          <w:rFonts w:ascii="Arial" w:eastAsia="Times New Roman" w:hAnsi="Arial" w:cs="Arial"/>
        </w:rPr>
      </w:pPr>
      <w:r w:rsidRPr="009272A2">
        <w:rPr>
          <w:rFonts w:ascii="Arial" w:eastAsia="Times New Roman" w:hAnsi="Arial" w:cs="Arial"/>
        </w:rPr>
        <w:t xml:space="preserve">The Social Worker will have a key role to play in relation to supporting the delivery; both the personalisation and social inclusion agendas, ensuring quality public facing services </w:t>
      </w:r>
      <w:r w:rsidRPr="009272A2">
        <w:rPr>
          <w:rFonts w:ascii="Arial" w:eastAsia="Times New Roman" w:hAnsi="Arial" w:cs="Arial"/>
        </w:rPr>
        <w:t>including health</w:t>
      </w:r>
      <w:r w:rsidRPr="009272A2">
        <w:rPr>
          <w:rFonts w:ascii="Arial" w:eastAsia="Times New Roman" w:hAnsi="Arial" w:cs="Arial"/>
        </w:rPr>
        <w:t xml:space="preserve"> and social care services.  The role will involve assessing; accessing and implementing a range of social care services and providing guidance/advice and information for adults with mental health needs and their carers.  </w:t>
      </w:r>
    </w:p>
    <w:p w14:paraId="1408FC8E" w14:textId="77777777" w:rsidR="009272A2" w:rsidRPr="009272A2" w:rsidRDefault="009272A2" w:rsidP="009272A2">
      <w:pPr>
        <w:spacing w:after="0" w:line="240" w:lineRule="auto"/>
        <w:rPr>
          <w:rFonts w:ascii="Arial" w:eastAsia="Times New Roman" w:hAnsi="Arial" w:cs="Arial"/>
        </w:rPr>
      </w:pP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44BF2251" w14:textId="77777777" w:rsidR="009272A2" w:rsidRPr="009272A2" w:rsidRDefault="009272A2" w:rsidP="009272A2">
      <w:pPr>
        <w:pStyle w:val="ListParagraph"/>
        <w:numPr>
          <w:ilvl w:val="0"/>
          <w:numId w:val="14"/>
        </w:numPr>
        <w:spacing w:after="0" w:line="240" w:lineRule="auto"/>
        <w:jc w:val="both"/>
        <w:rPr>
          <w:rFonts w:ascii="Arial" w:eastAsia="Times New Roman" w:hAnsi="Arial" w:cs="Arial"/>
        </w:rPr>
      </w:pPr>
      <w:r w:rsidRPr="009272A2">
        <w:rPr>
          <w:rFonts w:ascii="Arial" w:eastAsia="Times New Roman" w:hAnsi="Arial" w:cs="Arial"/>
        </w:rPr>
        <w:t xml:space="preserve">The post holder will be required to be an integrated and supportive member of a team, planning, actioning, monitoring and evaluating work with the supervision of an experienced Social Worker. </w:t>
      </w:r>
    </w:p>
    <w:p w14:paraId="73945DDB" w14:textId="77777777" w:rsidR="009272A2" w:rsidRPr="009272A2" w:rsidRDefault="009272A2" w:rsidP="009272A2">
      <w:pPr>
        <w:pStyle w:val="ListParagraph"/>
        <w:spacing w:after="0" w:line="240" w:lineRule="auto"/>
        <w:jc w:val="both"/>
        <w:rPr>
          <w:rFonts w:ascii="Arial" w:eastAsia="Times New Roman" w:hAnsi="Arial" w:cs="Arial"/>
        </w:rPr>
      </w:pPr>
    </w:p>
    <w:p w14:paraId="1DE191FF" w14:textId="77777777" w:rsidR="009272A2" w:rsidRPr="009272A2" w:rsidRDefault="009272A2" w:rsidP="009272A2">
      <w:pPr>
        <w:pStyle w:val="ListParagraph"/>
        <w:numPr>
          <w:ilvl w:val="0"/>
          <w:numId w:val="14"/>
        </w:numPr>
        <w:spacing w:after="0" w:line="240" w:lineRule="auto"/>
        <w:jc w:val="both"/>
        <w:rPr>
          <w:rFonts w:ascii="Arial" w:eastAsia="Times New Roman" w:hAnsi="Arial" w:cs="Arial"/>
        </w:rPr>
      </w:pPr>
      <w:r w:rsidRPr="009272A2">
        <w:rPr>
          <w:rFonts w:ascii="Arial" w:eastAsia="Times New Roman" w:hAnsi="Arial" w:cs="Arial"/>
        </w:rPr>
        <w:t>The post holder is responsible for supporting the delivery of health and social care functions for adults/carers within the Community and where relevant Hospital/ Inpatient settings providing social work knowledge and expertise within the domain of assessments, care and support planning, reviews and requests for information, advice and guidance.</w:t>
      </w:r>
    </w:p>
    <w:p w14:paraId="71AAABCA" w14:textId="77777777" w:rsidR="009272A2" w:rsidRPr="009272A2" w:rsidRDefault="009272A2" w:rsidP="009272A2">
      <w:pPr>
        <w:pStyle w:val="ListParagraph"/>
        <w:spacing w:after="0" w:line="240" w:lineRule="auto"/>
        <w:jc w:val="both"/>
        <w:rPr>
          <w:rFonts w:ascii="Arial" w:eastAsia="Times New Roman" w:hAnsi="Arial" w:cs="Arial"/>
        </w:rPr>
      </w:pPr>
    </w:p>
    <w:p w14:paraId="3B8D6183" w14:textId="4DB03A75" w:rsidR="009272A2" w:rsidRPr="009272A2" w:rsidRDefault="009272A2" w:rsidP="009272A2">
      <w:pPr>
        <w:pStyle w:val="ListParagraph"/>
        <w:numPr>
          <w:ilvl w:val="0"/>
          <w:numId w:val="14"/>
        </w:numPr>
        <w:spacing w:after="0" w:line="240" w:lineRule="auto"/>
        <w:jc w:val="both"/>
        <w:rPr>
          <w:rFonts w:ascii="Arial" w:eastAsia="Times New Roman" w:hAnsi="Arial" w:cs="Arial"/>
        </w:rPr>
      </w:pPr>
      <w:r w:rsidRPr="009272A2">
        <w:rPr>
          <w:rFonts w:ascii="Arial" w:eastAsia="Times New Roman" w:hAnsi="Arial" w:cs="Arial"/>
        </w:rPr>
        <w:t>The post holder is responsible for working collaboratively with our Pennine NHS Trust colleagues and services, to provide seamless care for adults/carers on defined care and support pathways</w:t>
      </w:r>
      <w:r>
        <w:rPr>
          <w:rFonts w:ascii="Arial" w:eastAsia="Times New Roman" w:hAnsi="Arial" w:cs="Arial"/>
        </w:rPr>
        <w:t>.</w:t>
      </w:r>
    </w:p>
    <w:p w14:paraId="39E2C59E" w14:textId="77777777" w:rsidR="009272A2" w:rsidRPr="009272A2" w:rsidRDefault="009272A2" w:rsidP="009272A2">
      <w:pPr>
        <w:pStyle w:val="ListParagraph"/>
        <w:spacing w:after="0" w:line="240" w:lineRule="auto"/>
        <w:jc w:val="both"/>
        <w:rPr>
          <w:rFonts w:ascii="Arial" w:eastAsia="Times New Roman" w:hAnsi="Arial" w:cs="Arial"/>
        </w:rPr>
      </w:pPr>
    </w:p>
    <w:p w14:paraId="4BC40EDF" w14:textId="77777777" w:rsidR="009272A2" w:rsidRPr="009272A2" w:rsidRDefault="009272A2" w:rsidP="009272A2">
      <w:pPr>
        <w:pStyle w:val="ListParagraph"/>
        <w:numPr>
          <w:ilvl w:val="0"/>
          <w:numId w:val="14"/>
        </w:numPr>
        <w:spacing w:after="0" w:line="240" w:lineRule="auto"/>
        <w:jc w:val="both"/>
        <w:rPr>
          <w:rFonts w:ascii="Arial" w:eastAsia="Times New Roman" w:hAnsi="Arial" w:cs="Arial"/>
        </w:rPr>
      </w:pPr>
      <w:r w:rsidRPr="009272A2">
        <w:rPr>
          <w:rFonts w:ascii="Arial" w:eastAsia="Times New Roman" w:hAnsi="Arial" w:cs="Arial"/>
        </w:rPr>
        <w:t>The post-holder is responsible for working in partnership with agencies external to the Council supporting adults/carers to access services/support in the independent and non-statutory sector.</w:t>
      </w:r>
    </w:p>
    <w:p w14:paraId="3B7B5E00" w14:textId="77777777" w:rsidR="009272A2" w:rsidRPr="009272A2" w:rsidRDefault="009272A2" w:rsidP="009272A2">
      <w:pPr>
        <w:pStyle w:val="ListParagraph"/>
        <w:spacing w:after="0" w:line="240" w:lineRule="auto"/>
        <w:jc w:val="both"/>
        <w:rPr>
          <w:rFonts w:ascii="Arial" w:eastAsia="Times New Roman" w:hAnsi="Arial" w:cs="Arial"/>
        </w:rPr>
      </w:pPr>
    </w:p>
    <w:p w14:paraId="06D1E970" w14:textId="38E78199" w:rsidR="009272A2" w:rsidRPr="009272A2" w:rsidRDefault="009272A2" w:rsidP="009272A2">
      <w:pPr>
        <w:pStyle w:val="ListParagraph"/>
        <w:numPr>
          <w:ilvl w:val="0"/>
          <w:numId w:val="14"/>
        </w:numPr>
        <w:spacing w:after="0" w:line="240" w:lineRule="auto"/>
        <w:jc w:val="both"/>
        <w:rPr>
          <w:rFonts w:ascii="Arial" w:eastAsia="Times New Roman" w:hAnsi="Arial" w:cs="Arial"/>
        </w:rPr>
      </w:pPr>
      <w:r w:rsidRPr="009272A2">
        <w:rPr>
          <w:rFonts w:ascii="Arial" w:eastAsia="Times New Roman" w:hAnsi="Arial" w:cs="Arial"/>
        </w:rPr>
        <w:t xml:space="preserve">The post holder will be responsible for upholding </w:t>
      </w:r>
      <w:r w:rsidRPr="009272A2">
        <w:rPr>
          <w:rFonts w:ascii="Arial" w:eastAsia="Times New Roman" w:hAnsi="Arial" w:cs="Arial"/>
        </w:rPr>
        <w:t>evidence-based</w:t>
      </w:r>
      <w:r w:rsidRPr="009272A2">
        <w:rPr>
          <w:rFonts w:ascii="Arial" w:eastAsia="Times New Roman" w:hAnsi="Arial" w:cs="Arial"/>
        </w:rPr>
        <w:t xml:space="preserve"> approaches, obtaining and recording with care by providing up to date/accurate case notes and assessments.  </w:t>
      </w:r>
    </w:p>
    <w:p w14:paraId="097DF9A0" w14:textId="2FC01D74" w:rsidR="00412F77" w:rsidRPr="009272A2" w:rsidRDefault="00412F77" w:rsidP="009272A2">
      <w:pPr>
        <w:rPr>
          <w:rFonts w:ascii="Arial" w:hAnsi="Arial" w:cs="Arial"/>
        </w:rPr>
      </w:pP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lastRenderedPageBreak/>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partners and customers.</w:t>
      </w:r>
    </w:p>
    <w:p w14:paraId="379A8E13" w14:textId="3BFAE862" w:rsidR="0085560E" w:rsidRDefault="0085560E" w:rsidP="009272A2">
      <w:pPr>
        <w:pStyle w:val="ListParagraph"/>
      </w:pP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0689" w14:textId="77777777" w:rsidR="00884AF6" w:rsidRDefault="00884AF6" w:rsidP="005034D4">
      <w:pPr>
        <w:spacing w:after="0" w:line="240" w:lineRule="auto"/>
      </w:pPr>
      <w:r>
        <w:separator/>
      </w:r>
    </w:p>
  </w:endnote>
  <w:endnote w:type="continuationSeparator" w:id="0">
    <w:p w14:paraId="473FDCC0" w14:textId="77777777" w:rsidR="00884AF6" w:rsidRDefault="00884AF6"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C8F5" w14:textId="77777777" w:rsidR="00884AF6" w:rsidRDefault="00884AF6" w:rsidP="005034D4">
      <w:pPr>
        <w:spacing w:after="0" w:line="240" w:lineRule="auto"/>
      </w:pPr>
      <w:r>
        <w:separator/>
      </w:r>
    </w:p>
  </w:footnote>
  <w:footnote w:type="continuationSeparator" w:id="0">
    <w:p w14:paraId="7FA90D00" w14:textId="77777777" w:rsidR="00884AF6" w:rsidRDefault="00884AF6"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7"/>
  </w:num>
  <w:num w:numId="5">
    <w:abstractNumId w:val="14"/>
  </w:num>
  <w:num w:numId="6">
    <w:abstractNumId w:val="17"/>
  </w:num>
  <w:num w:numId="7">
    <w:abstractNumId w:val="11"/>
  </w:num>
  <w:num w:numId="8">
    <w:abstractNumId w:val="16"/>
  </w:num>
  <w:num w:numId="9">
    <w:abstractNumId w:val="0"/>
  </w:num>
  <w:num w:numId="10">
    <w:abstractNumId w:val="5"/>
  </w:num>
  <w:num w:numId="11">
    <w:abstractNumId w:val="6"/>
  </w:num>
  <w:num w:numId="12">
    <w:abstractNumId w:val="2"/>
  </w:num>
  <w:num w:numId="13">
    <w:abstractNumId w:val="4"/>
  </w:num>
  <w:num w:numId="14">
    <w:abstractNumId w:val="12"/>
  </w:num>
  <w:num w:numId="15">
    <w:abstractNumId w:val="9"/>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84AF6"/>
    <w:rsid w:val="00885F9B"/>
    <w:rsid w:val="008D7CCC"/>
    <w:rsid w:val="009249DC"/>
    <w:rsid w:val="009272A2"/>
    <w:rsid w:val="00952E0C"/>
    <w:rsid w:val="00961584"/>
    <w:rsid w:val="00963F6E"/>
    <w:rsid w:val="00974A59"/>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5538E"/>
    <w:rsid w:val="00E734DB"/>
    <w:rsid w:val="00E9259B"/>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DE4430"/>
    <w:rsid w:val="00E637E6"/>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713E-CCE7-481C-B80B-52398AB9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Danielle Morrall</cp:lastModifiedBy>
  <cp:revision>2</cp:revision>
  <dcterms:created xsi:type="dcterms:W3CDTF">2021-12-02T16:28:00Z</dcterms:created>
  <dcterms:modified xsi:type="dcterms:W3CDTF">2021-12-02T16:28:00Z</dcterms:modified>
</cp:coreProperties>
</file>