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816"/>
        <w:gridCol w:w="1300"/>
        <w:gridCol w:w="791"/>
        <w:gridCol w:w="236"/>
        <w:gridCol w:w="2126"/>
        <w:gridCol w:w="616"/>
        <w:gridCol w:w="277"/>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Content>
            <w:tc>
              <w:tcPr>
                <w:tcW w:w="15921" w:type="dxa"/>
                <w:gridSpan w:val="13"/>
                <w:shd w:val="clear" w:color="auto" w:fill="E6007E"/>
              </w:tcPr>
              <w:p w:rsidR="005D4257" w:rsidRPr="00CC473C" w:rsidRDefault="00DD2859" w:rsidP="00DD2859">
                <w:pPr>
                  <w:jc w:val="center"/>
                  <w:rPr>
                    <w:rFonts w:ascii="Arial" w:hAnsi="Arial"/>
                    <w:b/>
                    <w:sz w:val="36"/>
                    <w:szCs w:val="24"/>
                  </w:rPr>
                </w:pPr>
                <w:r>
                  <w:rPr>
                    <w:rFonts w:ascii="Arial" w:hAnsi="Arial"/>
                    <w:b/>
                    <w:color w:val="FFFFFF" w:themeColor="background1"/>
                    <w:sz w:val="36"/>
                    <w:szCs w:val="24"/>
                  </w:rPr>
                  <w:t>ASSISTANT DIRECTOR – INTEGRATED COMMISSIONING</w:t>
                </w:r>
              </w:p>
            </w:tc>
          </w:sdtContent>
        </w:sdt>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5B42B0">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Content>
            <w:tc>
              <w:tcPr>
                <w:tcW w:w="3816" w:type="dxa"/>
              </w:tcPr>
              <w:p w:rsidR="008E36F7" w:rsidRPr="00CC473C" w:rsidRDefault="006A4722" w:rsidP="006A4722">
                <w:pPr>
                  <w:rPr>
                    <w:rFonts w:ascii="Arial" w:hAnsi="Arial"/>
                  </w:rPr>
                </w:pPr>
                <w:r>
                  <w:rPr>
                    <w:rFonts w:ascii="Arial" w:hAnsi="Arial"/>
                  </w:rPr>
                  <w:t>People Directorate</w:t>
                </w:r>
              </w:p>
            </w:tc>
          </w:sdtContent>
        </w:sdt>
        <w:tc>
          <w:tcPr>
            <w:tcW w:w="1300"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Content>
            <w:tc>
              <w:tcPr>
                <w:tcW w:w="3153" w:type="dxa"/>
                <w:gridSpan w:val="3"/>
              </w:tcPr>
              <w:p w:rsidR="008E36F7" w:rsidRPr="00CC473C" w:rsidRDefault="006A4722" w:rsidP="006A4722">
                <w:pPr>
                  <w:rPr>
                    <w:rFonts w:ascii="Arial" w:hAnsi="Arial"/>
                  </w:rPr>
                </w:pPr>
                <w:r>
                  <w:rPr>
                    <w:rFonts w:ascii="Arial" w:hAnsi="Arial"/>
                  </w:rPr>
                  <w:t>Local Scale Band E</w:t>
                </w:r>
              </w:p>
            </w:tc>
          </w:sdtContent>
        </w:sdt>
        <w:tc>
          <w:tcPr>
            <w:tcW w:w="1851" w:type="dxa"/>
            <w:gridSpan w:val="4"/>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Content>
            <w:tc>
              <w:tcPr>
                <w:tcW w:w="4088" w:type="dxa"/>
                <w:gridSpan w:val="2"/>
              </w:tcPr>
              <w:p w:rsidR="008E36F7" w:rsidRPr="00CC473C" w:rsidRDefault="00DD2859" w:rsidP="00DD2859">
                <w:pPr>
                  <w:rPr>
                    <w:rFonts w:ascii="Arial" w:hAnsi="Arial"/>
                  </w:rPr>
                </w:pPr>
                <w:r>
                  <w:rPr>
                    <w:rFonts w:ascii="Arial" w:hAnsi="Arial"/>
                  </w:rPr>
                  <w:t>£70, 883 - £77, 972 (Full time salary)</w:t>
                </w:r>
              </w:p>
            </w:tc>
          </w:sdtContent>
        </w:sdt>
      </w:tr>
      <w:tr w:rsidR="008E36F7" w:rsidRPr="00CC473C" w:rsidTr="005B42B0">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Content>
            <w:tc>
              <w:tcPr>
                <w:tcW w:w="3816" w:type="dxa"/>
              </w:tcPr>
              <w:p w:rsidR="008E36F7" w:rsidRPr="00CC473C" w:rsidRDefault="00DD2859" w:rsidP="00DD2859">
                <w:pPr>
                  <w:rPr>
                    <w:rFonts w:ascii="Arial" w:hAnsi="Arial"/>
                  </w:rPr>
                </w:pPr>
                <w:r w:rsidRPr="005B42B0">
                  <w:rPr>
                    <w:rFonts w:ascii="Arial" w:hAnsi="Arial"/>
                  </w:rPr>
                  <w:t xml:space="preserve">Strategic Director People &amp; </w:t>
                </w:r>
                <w:r w:rsidRPr="005B42B0">
                  <w:rPr>
                    <w:rFonts w:ascii="Arial" w:hAnsi="Arial"/>
                  </w:rPr>
                  <w:t>Director of Commissioning</w:t>
                </w:r>
                <w:r w:rsidRPr="005B42B0">
                  <w:rPr>
                    <w:rFonts w:ascii="Arial" w:hAnsi="Arial"/>
                  </w:rPr>
                  <w:t>, S</w:t>
                </w:r>
                <w:r w:rsidRPr="005B42B0">
                  <w:rPr>
                    <w:rFonts w:ascii="Arial" w:hAnsi="Arial"/>
                  </w:rPr>
                  <w:t>alford CCG</w:t>
                </w:r>
              </w:p>
            </w:tc>
          </w:sdtContent>
        </w:sdt>
        <w:tc>
          <w:tcPr>
            <w:tcW w:w="1300"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Content>
            <w:tc>
              <w:tcPr>
                <w:tcW w:w="3153" w:type="dxa"/>
                <w:gridSpan w:val="3"/>
              </w:tcPr>
              <w:p w:rsidR="008E36F7" w:rsidRPr="00CC473C" w:rsidRDefault="00DD2859" w:rsidP="00DD2859">
                <w:pPr>
                  <w:rPr>
                    <w:rFonts w:ascii="Arial" w:hAnsi="Arial"/>
                  </w:rPr>
                </w:pPr>
                <w:r>
                  <w:rPr>
                    <w:rFonts w:ascii="Arial" w:hAnsi="Arial"/>
                  </w:rPr>
                  <w:t>Salford Civic Centre</w:t>
                </w:r>
              </w:p>
            </w:tc>
          </w:sdtContent>
        </w:sdt>
        <w:tc>
          <w:tcPr>
            <w:tcW w:w="1851" w:type="dxa"/>
            <w:gridSpan w:val="4"/>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Content>
            <w:tc>
              <w:tcPr>
                <w:tcW w:w="4088" w:type="dxa"/>
                <w:gridSpan w:val="2"/>
              </w:tcPr>
              <w:p w:rsidR="008E36F7" w:rsidRPr="00CC473C" w:rsidRDefault="00DD2859" w:rsidP="00DD2859">
                <w:pPr>
                  <w:rPr>
                    <w:rFonts w:ascii="Arial" w:hAnsi="Arial"/>
                  </w:rPr>
                </w:pPr>
                <w:r>
                  <w:rPr>
                    <w:rFonts w:ascii="Arial" w:hAnsi="Arial"/>
                  </w:rPr>
                  <w:t>18 hours (job share)</w:t>
                </w:r>
              </w:p>
            </w:tc>
          </w:sdtContent>
        </w:sdt>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rPr>
              <w:rFonts w:ascii="Calibri" w:hAnsi="Calibri"/>
            </w:rPr>
          </w:sdtEndPr>
          <w:sdtContent>
            <w:sdt>
              <w:sdtPr>
                <w:rPr>
                  <w:rFonts w:ascii="Arial" w:hAnsi="Arial"/>
                </w:rPr>
                <w:id w:val="756870263"/>
                <w:placeholder>
                  <w:docPart w:val="627DE132275541D9B310CA5A02602C75"/>
                </w:placeholder>
              </w:sdtPr>
              <w:sdtEndPr>
                <w:rPr>
                  <w:rFonts w:ascii="Calibri" w:hAnsi="Calibri"/>
                </w:rPr>
              </w:sdtEndPr>
              <w:sdtContent>
                <w:tc>
                  <w:tcPr>
                    <w:tcW w:w="10875" w:type="dxa"/>
                    <w:gridSpan w:val="9"/>
                    <w:shd w:val="clear" w:color="auto" w:fill="auto"/>
                  </w:tcPr>
                  <w:p w:rsidR="00E6255C" w:rsidRPr="00E1506D" w:rsidRDefault="00E6255C" w:rsidP="005B42B0">
                    <w:pPr>
                      <w:pStyle w:val="ListParagraph"/>
                      <w:numPr>
                        <w:ilvl w:val="0"/>
                        <w:numId w:val="25"/>
                      </w:numPr>
                      <w:ind w:left="459"/>
                      <w:jc w:val="both"/>
                      <w:rPr>
                        <w:rFonts w:ascii="Arial" w:hAnsi="Arial"/>
                      </w:rPr>
                    </w:pPr>
                    <w:r w:rsidRPr="00E1506D">
                      <w:rPr>
                        <w:rFonts w:ascii="Arial" w:hAnsi="Arial"/>
                      </w:rPr>
                      <w:t>Leads and manages health and social care commissioning in the context of the Salford Together Integrated Care System.</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Ensures commissioning strategies and plans are in place that reflect local need, priorities and maximise resources.  These strategies include Mental Health, Learning Disabilities, Older People, Carers, Housing for Vulnerable Adults and Dementia.</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Contributes to the Service and Financial Plan for Adults in Salford and develops Integrated Commissioning as a cross-cutting activity, linking strategic and financial planning with operational delivery.  </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Creates an environment that ensures that people/patients who use services and their </w:t>
                    </w:r>
                    <w:proofErr w:type="spellStart"/>
                    <w:r w:rsidRPr="00E1506D">
                      <w:rPr>
                        <w:rFonts w:ascii="Arial" w:hAnsi="Arial"/>
                      </w:rPr>
                      <w:t>carers</w:t>
                    </w:r>
                    <w:proofErr w:type="spellEnd"/>
                    <w:r w:rsidRPr="00E1506D">
                      <w:rPr>
                        <w:rFonts w:ascii="Arial" w:hAnsi="Arial"/>
                      </w:rPr>
                      <w:t xml:space="preserve"> are at the heart of commissioning, engaging and co-producing with citizens in the wider community to define outcomes which reflect needs, preferences and aspirations of people who will use services in the future. </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Develops and maintains partnership arrangements with stakeholders within and across organisations, with the responsibility for ensuring that changes resulting from the service transformation take account of professional social work issues.</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Develops leading edge outcome based specifications, and consistent performance and quality management.</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Manages the budget for agreed commissioned service, ensuring compliance with contractual arrangements and agreed service specifications and standards.  </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Challenges conventional approaches across health and social care to enable greater efficiency, effectiveness through the development of best practices </w:t>
                    </w:r>
                    <w:bookmarkStart w:id="0" w:name="_GoBack"/>
                    <w:bookmarkEnd w:id="0"/>
                    <w:r w:rsidRPr="00E1506D">
                      <w:rPr>
                        <w:rFonts w:ascii="Arial" w:hAnsi="Arial"/>
                      </w:rPr>
                      <w:t xml:space="preserve">and innovative commissioning and market development.  </w:t>
                    </w:r>
                  </w:p>
                  <w:p w:rsidR="00E6255C" w:rsidRPr="00E1506D"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Alerts the Strategic Director People (SCC) &amp; </w:t>
                    </w:r>
                    <w:r w:rsidR="00AA392A">
                      <w:rPr>
                        <w:rFonts w:ascii="Arial" w:hAnsi="Arial"/>
                      </w:rPr>
                      <w:t>Director of Commissioning</w:t>
                    </w:r>
                    <w:r w:rsidRPr="00E1506D">
                      <w:rPr>
                        <w:rFonts w:ascii="Arial" w:hAnsi="Arial"/>
                      </w:rPr>
                      <w:t xml:space="preserve"> (CCG) when there is failure or risk of failure, to meeting required professional standards, and </w:t>
                    </w:r>
                    <w:proofErr w:type="gramStart"/>
                    <w:r w:rsidRPr="00E1506D">
                      <w:rPr>
                        <w:rFonts w:ascii="Arial" w:hAnsi="Arial"/>
                      </w:rPr>
                      <w:t>advise</w:t>
                    </w:r>
                    <w:proofErr w:type="gramEnd"/>
                    <w:r w:rsidRPr="00E1506D">
                      <w:rPr>
                        <w:rFonts w:ascii="Arial" w:hAnsi="Arial"/>
                      </w:rPr>
                      <w:t xml:space="preserve"> on action to mitigate this.  </w:t>
                    </w:r>
                  </w:p>
                  <w:p w:rsidR="00E6255C" w:rsidRDefault="00E6255C" w:rsidP="005B42B0">
                    <w:pPr>
                      <w:pStyle w:val="ListParagraph"/>
                      <w:numPr>
                        <w:ilvl w:val="0"/>
                        <w:numId w:val="25"/>
                      </w:numPr>
                      <w:spacing w:before="60" w:after="60"/>
                      <w:ind w:left="459"/>
                      <w:jc w:val="both"/>
                      <w:rPr>
                        <w:rFonts w:ascii="Arial" w:hAnsi="Arial"/>
                      </w:rPr>
                    </w:pPr>
                    <w:r w:rsidRPr="00E1506D">
                      <w:rPr>
                        <w:rFonts w:ascii="Arial" w:hAnsi="Arial"/>
                      </w:rPr>
                      <w:t xml:space="preserve">Devises and updates appropriate infrastructures, methodologies and templates to support the commissioning process and cultural change and supporting commissioners to develop and present business cases as required.  </w:t>
                    </w:r>
                  </w:p>
                  <w:p w:rsidR="00D1484E" w:rsidRPr="00E6255C" w:rsidRDefault="00E6255C" w:rsidP="005B42B0">
                    <w:pPr>
                      <w:pStyle w:val="ListParagraph"/>
                      <w:numPr>
                        <w:ilvl w:val="0"/>
                        <w:numId w:val="25"/>
                      </w:numPr>
                      <w:spacing w:before="60" w:after="60"/>
                      <w:ind w:left="459"/>
                      <w:jc w:val="both"/>
                      <w:rPr>
                        <w:rFonts w:ascii="Arial" w:hAnsi="Arial"/>
                      </w:rPr>
                    </w:pPr>
                    <w:r w:rsidRPr="00E6255C">
                      <w:rPr>
                        <w:rFonts w:ascii="Arial" w:hAnsi="Arial"/>
                      </w:rPr>
                      <w:t xml:space="preserve">Undertakes strategic and representative activities (e.g. at external meetings) as delegated by the Strategic Director People (SCC) or the </w:t>
                    </w:r>
                    <w:r w:rsidR="00AA392A">
                      <w:rPr>
                        <w:rFonts w:ascii="Arial" w:hAnsi="Arial"/>
                      </w:rPr>
                      <w:t>Director of Commissioning</w:t>
                    </w:r>
                    <w:r w:rsidR="005B42B0">
                      <w:rPr>
                        <w:rFonts w:ascii="Arial" w:hAnsi="Arial"/>
                      </w:rPr>
                      <w:t xml:space="preserve"> (CCG).</w:t>
                    </w:r>
                  </w:p>
                </w:tc>
              </w:sdtContent>
            </w:sdt>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5B42B0">
        <w:trPr>
          <w:gridBefore w:val="1"/>
          <w:gridAfter w:val="1"/>
          <w:wBefore w:w="113" w:type="dxa"/>
          <w:wAfter w:w="78" w:type="dxa"/>
          <w:cantSplit/>
          <w:trHeight w:hRule="exact" w:val="4916"/>
        </w:trPr>
        <w:sdt>
          <w:sdtPr>
            <w:rPr>
              <w:rFonts w:ascii="Arial" w:hAnsi="Arial"/>
            </w:rPr>
            <w:id w:val="4773592"/>
            <w:placeholder>
              <w:docPart w:val="DefaultPlaceholder_22675703"/>
            </w:placeholder>
          </w:sdtPr>
          <w:sdtEndPr>
            <w:rPr>
              <w:rFonts w:asciiTheme="minorHAnsi" w:eastAsiaTheme="minorHAnsi" w:hAnsiTheme="minorHAnsi" w:cstheme="minorBidi"/>
            </w:rPr>
          </w:sdtEndPr>
          <w:sdtContent>
            <w:sdt>
              <w:sdtPr>
                <w:rPr>
                  <w:rFonts w:ascii="Arial" w:hAnsi="Arial"/>
                </w:rPr>
                <w:id w:val="1434476847"/>
                <w:placeholder>
                  <w:docPart w:val="B0126FCC1E56495F93AAA45FA03AA2F3"/>
                </w:placeholder>
              </w:sdtPr>
              <w:sdtEndPr>
                <w:rPr>
                  <w:rFonts w:asciiTheme="minorHAnsi" w:eastAsiaTheme="minorHAnsi" w:hAnsiTheme="minorHAnsi" w:cstheme="minorBidi"/>
                  <w:sz w:val="24"/>
                  <w:szCs w:val="24"/>
                </w:rPr>
              </w:sdtEndPr>
              <w:sdtContent>
                <w:sdt>
                  <w:sdtPr>
                    <w:rPr>
                      <w:rFonts w:ascii="Arial" w:hAnsi="Arial"/>
                    </w:rPr>
                    <w:id w:val="704381407"/>
                    <w:placeholder>
                      <w:docPart w:val="81DC58EF75334886A34C060E75E5B9A5"/>
                    </w:placeholder>
                  </w:sdtPr>
                  <w:sdtEndPr>
                    <w:rPr>
                      <w:rFonts w:asciiTheme="minorHAnsi" w:eastAsiaTheme="minorHAnsi" w:hAnsiTheme="minorHAnsi" w:cstheme="minorBidi"/>
                    </w:rPr>
                  </w:sdtEndPr>
                  <w:sdtContent>
                    <w:tc>
                      <w:tcPr>
                        <w:tcW w:w="7507" w:type="dxa"/>
                        <w:gridSpan w:val="4"/>
                      </w:tcPr>
                      <w:p w:rsidR="006A4722" w:rsidRDefault="006A4722" w:rsidP="005B42B0">
                        <w:pPr>
                          <w:pStyle w:val="ListParagraph"/>
                          <w:numPr>
                            <w:ilvl w:val="0"/>
                            <w:numId w:val="30"/>
                          </w:numPr>
                          <w:ind w:left="488"/>
                          <w:rPr>
                            <w:rFonts w:ascii="Arial" w:hAnsi="Arial" w:cs="Arial"/>
                          </w:rPr>
                        </w:pPr>
                        <w:r w:rsidRPr="007B4022">
                          <w:rPr>
                            <w:rFonts w:ascii="Arial" w:hAnsi="Arial" w:cs="Arial"/>
                          </w:rPr>
                          <w:t xml:space="preserve">Provides strong professional leadership and strategic responsibility for ensuring high professional standards in all areas of commissioned services. </w:t>
                        </w:r>
                      </w:p>
                      <w:p w:rsidR="006A4722" w:rsidRDefault="006A4722" w:rsidP="005B42B0">
                        <w:pPr>
                          <w:pStyle w:val="ListParagraph"/>
                          <w:numPr>
                            <w:ilvl w:val="0"/>
                            <w:numId w:val="30"/>
                          </w:numPr>
                          <w:ind w:left="488"/>
                          <w:rPr>
                            <w:rFonts w:ascii="Arial" w:hAnsi="Arial" w:cs="Arial"/>
                          </w:rPr>
                        </w:pPr>
                        <w:r w:rsidRPr="007B4022">
                          <w:rPr>
                            <w:rFonts w:ascii="Arial" w:hAnsi="Arial" w:cs="Arial"/>
                          </w:rPr>
                          <w:t xml:space="preserve">Leads a learning culture which inspires staff and provides senior management to employees within the Council and CCG,  motivating and supporting them to attain the highest professional standards, skills, knowledge, attributes and competencies required to fulfil their duties </w:t>
                        </w:r>
                      </w:p>
                      <w:p w:rsidR="006A4722" w:rsidRDefault="006A4722" w:rsidP="005B42B0">
                        <w:pPr>
                          <w:pStyle w:val="ListParagraph"/>
                          <w:numPr>
                            <w:ilvl w:val="0"/>
                            <w:numId w:val="30"/>
                          </w:numPr>
                          <w:ind w:left="488"/>
                          <w:rPr>
                            <w:rFonts w:ascii="Arial" w:hAnsi="Arial" w:cs="Arial"/>
                          </w:rPr>
                        </w:pPr>
                        <w:r w:rsidRPr="007B4022">
                          <w:rPr>
                            <w:rFonts w:ascii="Arial" w:hAnsi="Arial" w:cs="Arial"/>
                          </w:rPr>
                          <w:t>Leads, builds and manages positive, constructive productive relationships between the Council, the CCG, its partners, and local communities.</w:t>
                        </w:r>
                      </w:p>
                      <w:p w:rsidR="006A4722" w:rsidRDefault="006A4722" w:rsidP="005B42B0">
                        <w:pPr>
                          <w:pStyle w:val="ListParagraph"/>
                          <w:numPr>
                            <w:ilvl w:val="0"/>
                            <w:numId w:val="30"/>
                          </w:numPr>
                          <w:ind w:left="488"/>
                          <w:rPr>
                            <w:rFonts w:ascii="Arial" w:hAnsi="Arial" w:cs="Arial"/>
                          </w:rPr>
                        </w:pPr>
                        <w:r w:rsidRPr="007B4022">
                          <w:rPr>
                            <w:rFonts w:ascii="Arial" w:hAnsi="Arial" w:cs="Arial"/>
                          </w:rPr>
                          <w:t>Provides constructive and assertive engagement with commissioned services to ensure Salford has high quality performing services that meet strategic objectives and national targets.</w:t>
                        </w:r>
                      </w:p>
                      <w:p w:rsidR="006A4722" w:rsidRPr="007B4022" w:rsidRDefault="006A4722" w:rsidP="005B42B0">
                        <w:pPr>
                          <w:pStyle w:val="ListParagraph"/>
                          <w:numPr>
                            <w:ilvl w:val="0"/>
                            <w:numId w:val="30"/>
                          </w:numPr>
                          <w:ind w:left="488"/>
                          <w:rPr>
                            <w:rFonts w:ascii="Arial" w:hAnsi="Arial" w:cs="Arial"/>
                          </w:rPr>
                        </w:pPr>
                        <w:r w:rsidRPr="007B4022">
                          <w:rPr>
                            <w:rFonts w:ascii="Arial" w:hAnsi="Arial" w:cs="Arial"/>
                          </w:rPr>
                          <w:t>Alongside the Strategic Director People (SCC) and the Director of Commissioning (CCG) develop an integrated commissioning culture across both organisations.</w:t>
                        </w:r>
                      </w:p>
                      <w:p w:rsidR="00D4435D" w:rsidRPr="006A4722" w:rsidRDefault="00D4435D" w:rsidP="006A4722">
                        <w:pPr>
                          <w:rPr>
                            <w:rFonts w:ascii="Arial" w:hAnsi="Arial" w:cs="Arial"/>
                            <w:sz w:val="20"/>
                            <w:szCs w:val="20"/>
                          </w:rPr>
                        </w:pPr>
                      </w:p>
                    </w:tc>
                  </w:sdtContent>
                </w:sdt>
              </w:sdtContent>
            </w:sdt>
          </w:sdtContent>
        </w:sdt>
        <w:tc>
          <w:tcPr>
            <w:tcW w:w="236" w:type="dxa"/>
          </w:tcPr>
          <w:p w:rsidR="00D4435D" w:rsidRPr="006931D5" w:rsidRDefault="00D4435D" w:rsidP="00514B9C">
            <w:pPr>
              <w:pStyle w:val="ListParagraph"/>
              <w:ind w:left="456"/>
              <w:jc w:val="both"/>
              <w:rPr>
                <w:rFonts w:ascii="Arial" w:hAnsi="Arial"/>
              </w:rPr>
            </w:pPr>
          </w:p>
        </w:tc>
        <w:tc>
          <w:tcPr>
            <w:tcW w:w="7987" w:type="dxa"/>
            <w:gridSpan w:val="6"/>
          </w:tcPr>
          <w:sdt>
            <w:sdtPr>
              <w:rPr>
                <w:color w:val="808080"/>
              </w:rPr>
              <w:id w:val="4773593"/>
              <w:placeholder>
                <w:docPart w:val="DefaultPlaceholder_22675703"/>
              </w:placeholder>
            </w:sdtPr>
            <w:sdtEndPr>
              <w:rPr>
                <w:rFonts w:asciiTheme="minorHAnsi" w:eastAsiaTheme="minorHAnsi" w:hAnsiTheme="minorHAnsi" w:cstheme="minorBidi"/>
                <w:color w:val="auto"/>
              </w:rPr>
            </w:sdtEndPr>
            <w:sdtContent>
              <w:sdt>
                <w:sdtPr>
                  <w:rPr>
                    <w:sz w:val="24"/>
                    <w:szCs w:val="24"/>
                  </w:rPr>
                  <w:id w:val="-1263756061"/>
                  <w:placeholder>
                    <w:docPart w:val="C236CBF1086344A484D1CAB143210FD8"/>
                  </w:placeholder>
                </w:sdtPr>
                <w:sdtEndPr>
                  <w:rPr>
                    <w:rFonts w:asciiTheme="minorHAnsi" w:eastAsiaTheme="minorHAnsi" w:hAnsiTheme="minorHAnsi" w:cstheme="minorBidi"/>
                    <w:sz w:val="22"/>
                    <w:szCs w:val="22"/>
                  </w:rPr>
                </w:sdtEndPr>
                <w:sdtContent>
                  <w:sdt>
                    <w:sdtPr>
                      <w:rPr>
                        <w:sz w:val="24"/>
                        <w:szCs w:val="24"/>
                      </w:rPr>
                      <w:id w:val="-988006295"/>
                      <w:placeholder>
                        <w:docPart w:val="FA5C01EF56664BB081E267A36D4C9DEB"/>
                      </w:placeholder>
                    </w:sdtPr>
                    <w:sdtEndPr>
                      <w:rPr>
                        <w:rFonts w:asciiTheme="minorHAnsi" w:eastAsiaTheme="minorHAnsi" w:hAnsiTheme="minorHAnsi" w:cstheme="minorBidi"/>
                        <w:sz w:val="22"/>
                        <w:szCs w:val="22"/>
                      </w:rPr>
                    </w:sdtEndPr>
                    <w:sdtContent>
                      <w:p w:rsidR="006A4722" w:rsidRPr="005B42B0" w:rsidRDefault="006A4722" w:rsidP="005B42B0">
                        <w:pPr>
                          <w:pStyle w:val="ListParagraph"/>
                          <w:numPr>
                            <w:ilvl w:val="0"/>
                            <w:numId w:val="31"/>
                          </w:numPr>
                          <w:ind w:left="400"/>
                          <w:rPr>
                            <w:rFonts w:ascii="Arial" w:hAnsi="Arial" w:cs="Arial"/>
                          </w:rPr>
                        </w:pPr>
                        <w:r w:rsidRPr="005B42B0">
                          <w:rPr>
                            <w:rFonts w:ascii="Arial" w:hAnsi="Arial" w:cs="Arial"/>
                          </w:rPr>
                          <w:t>Ensures active engagement with people/patients in order to promote a culture of learning and coproduction to d</w:t>
                        </w:r>
                        <w:r w:rsidR="00AA392A" w:rsidRPr="005B42B0">
                          <w:rPr>
                            <w:rFonts w:ascii="Arial" w:hAnsi="Arial" w:cs="Arial"/>
                          </w:rPr>
                          <w:t>evelop services for the future.</w:t>
                        </w:r>
                      </w:p>
                      <w:p w:rsidR="006A4722" w:rsidRPr="005B42B0" w:rsidRDefault="006A4722" w:rsidP="005B42B0">
                        <w:pPr>
                          <w:pStyle w:val="ListParagraph"/>
                          <w:numPr>
                            <w:ilvl w:val="0"/>
                            <w:numId w:val="31"/>
                          </w:numPr>
                          <w:ind w:left="400"/>
                          <w:rPr>
                            <w:rFonts w:ascii="Arial" w:hAnsi="Arial" w:cs="Arial"/>
                          </w:rPr>
                        </w:pPr>
                        <w:r w:rsidRPr="005B42B0">
                          <w:rPr>
                            <w:rFonts w:ascii="Arial" w:hAnsi="Arial" w:cs="Arial"/>
                          </w:rPr>
                          <w:t>Communicates a strategic vision for the delivery of health and social care services across mental health and adult social care, pertaining to specific service user groups</w:t>
                        </w:r>
                      </w:p>
                      <w:p w:rsidR="006A4722" w:rsidRPr="005B42B0" w:rsidRDefault="006A4722" w:rsidP="005B42B0">
                        <w:pPr>
                          <w:pStyle w:val="ListParagraph"/>
                          <w:numPr>
                            <w:ilvl w:val="0"/>
                            <w:numId w:val="31"/>
                          </w:numPr>
                          <w:ind w:left="400"/>
                          <w:rPr>
                            <w:rFonts w:ascii="Arial" w:hAnsi="Arial" w:cs="Arial"/>
                          </w:rPr>
                        </w:pPr>
                        <w:r w:rsidRPr="005B42B0">
                          <w:rPr>
                            <w:rFonts w:ascii="Arial" w:hAnsi="Arial" w:cs="Arial"/>
                          </w:rPr>
                          <w:t>Explores and implement innovative solutions and new ways of working to improve the offer and outcomes to the Salford public</w:t>
                        </w:r>
                      </w:p>
                      <w:p w:rsidR="006A4722" w:rsidRPr="005B42B0" w:rsidRDefault="006A4722" w:rsidP="005B42B0">
                        <w:pPr>
                          <w:pStyle w:val="ListParagraph"/>
                          <w:numPr>
                            <w:ilvl w:val="0"/>
                            <w:numId w:val="31"/>
                          </w:numPr>
                          <w:ind w:left="400"/>
                          <w:rPr>
                            <w:rFonts w:ascii="Arial" w:hAnsi="Arial" w:cs="Arial"/>
                          </w:rPr>
                        </w:pPr>
                        <w:r w:rsidRPr="005B42B0">
                          <w:rPr>
                            <w:rFonts w:ascii="Arial" w:hAnsi="Arial" w:cs="Arial"/>
                          </w:rPr>
                          <w:t xml:space="preserve">Fully engages in relevant </w:t>
                        </w:r>
                        <w:proofErr w:type="spellStart"/>
                        <w:r w:rsidRPr="005B42B0">
                          <w:rPr>
                            <w:rFonts w:ascii="Arial" w:hAnsi="Arial" w:cs="Arial"/>
                          </w:rPr>
                          <w:t>workstreams</w:t>
                        </w:r>
                        <w:proofErr w:type="spellEnd"/>
                        <w:r w:rsidRPr="005B42B0">
                          <w:rPr>
                            <w:rFonts w:ascii="Arial" w:hAnsi="Arial" w:cs="Arial"/>
                          </w:rPr>
                          <w:t xml:space="preserve"> across Greater Manchester which relate to adult social care and mental health commissioning.</w:t>
                        </w:r>
                      </w:p>
                      <w:p w:rsidR="006A4722" w:rsidRPr="005B42B0" w:rsidRDefault="006A4722" w:rsidP="005B42B0">
                        <w:pPr>
                          <w:pStyle w:val="ListParagraph"/>
                          <w:numPr>
                            <w:ilvl w:val="0"/>
                            <w:numId w:val="31"/>
                          </w:numPr>
                          <w:ind w:left="400"/>
                          <w:rPr>
                            <w:rFonts w:ascii="Arial" w:hAnsi="Arial" w:cs="Arial"/>
                          </w:rPr>
                        </w:pPr>
                        <w:r w:rsidRPr="005B42B0">
                          <w:rPr>
                            <w:rFonts w:ascii="Arial" w:hAnsi="Arial" w:cs="Arial"/>
                          </w:rPr>
                          <w:t>Ensures Salford meets our statutory responsibilities (e.g. Care Act) and commissioning  expectations (</w:t>
                        </w:r>
                        <w:proofErr w:type="spellStart"/>
                        <w:r w:rsidRPr="005B42B0">
                          <w:rPr>
                            <w:rFonts w:ascii="Arial" w:hAnsi="Arial" w:cs="Arial"/>
                          </w:rPr>
                          <w:t>e.g</w:t>
                        </w:r>
                        <w:proofErr w:type="spellEnd"/>
                        <w:r w:rsidRPr="005B42B0">
                          <w:rPr>
                            <w:rFonts w:ascii="Arial" w:hAnsi="Arial" w:cs="Arial"/>
                          </w:rPr>
                          <w:t xml:space="preserve"> NHS Long Term Plan)  </w:t>
                        </w:r>
                      </w:p>
                      <w:p w:rsidR="006A4722" w:rsidRDefault="006A4722" w:rsidP="006A4722">
                        <w:pPr>
                          <w:jc w:val="both"/>
                        </w:pPr>
                      </w:p>
                    </w:sdtContent>
                  </w:sdt>
                  <w:p w:rsidR="003A58D4" w:rsidRPr="006A4722" w:rsidRDefault="00C04931" w:rsidP="006A4722">
                    <w:pPr>
                      <w:rPr>
                        <w:rFonts w:ascii="Arial" w:hAnsi="Arial" w:cs="Arial"/>
                        <w:sz w:val="24"/>
                        <w:szCs w:val="24"/>
                      </w:rPr>
                    </w:pPr>
                  </w:p>
                </w:sdtContent>
              </w:sdt>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5B42B0">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odels and demonstrates our values a</w:t>
            </w:r>
            <w:r w:rsidR="006174A6">
              <w:rPr>
                <w:rFonts w:ascii="Arial" w:hAnsi="Arial"/>
              </w:rPr>
              <w:t>nd leadership behaviours</w:t>
            </w:r>
          </w:p>
          <w:sdt>
            <w:sdtPr>
              <w:rPr>
                <w:rFonts w:ascii="Arial" w:hAnsi="Arial"/>
              </w:rPr>
              <w:id w:val="4773594"/>
              <w:placeholder>
                <w:docPart w:val="DefaultPlaceholder_22675703"/>
              </w:placeholder>
            </w:sdtPr>
            <w:sdtContent>
              <w:p w:rsidR="00C04931" w:rsidRPr="00B655DF" w:rsidRDefault="00C04931" w:rsidP="00C04931">
                <w:pPr>
                  <w:pStyle w:val="ListParagraph"/>
                  <w:numPr>
                    <w:ilvl w:val="0"/>
                    <w:numId w:val="20"/>
                  </w:numPr>
                  <w:ind w:left="454"/>
                  <w:jc w:val="both"/>
                  <w:rPr>
                    <w:rFonts w:ascii="Arial" w:hAnsi="Arial"/>
                  </w:rPr>
                </w:pPr>
                <w:r w:rsidRPr="00B655DF">
                  <w:rPr>
                    <w:rFonts w:ascii="Arial" w:hAnsi="Arial"/>
                  </w:rPr>
                  <w:t>Masters level degree or equivalent level of experience</w:t>
                </w:r>
              </w:p>
              <w:p w:rsidR="00C04931" w:rsidRPr="00B655DF" w:rsidRDefault="00C04931" w:rsidP="00C04931">
                <w:pPr>
                  <w:pStyle w:val="ListParagraph"/>
                  <w:numPr>
                    <w:ilvl w:val="0"/>
                    <w:numId w:val="20"/>
                  </w:numPr>
                  <w:ind w:left="454"/>
                  <w:jc w:val="both"/>
                  <w:rPr>
                    <w:rFonts w:ascii="Arial" w:hAnsi="Arial"/>
                  </w:rPr>
                </w:pPr>
                <w:r w:rsidRPr="00B655DF">
                  <w:rPr>
                    <w:rFonts w:ascii="Arial" w:hAnsi="Arial"/>
                  </w:rPr>
                  <w:t>Evidence of continued professional development</w:t>
                </w:r>
              </w:p>
              <w:p w:rsidR="00C04931" w:rsidRPr="00B655DF" w:rsidRDefault="00C04931" w:rsidP="00C04931">
                <w:pPr>
                  <w:pStyle w:val="ListParagraph"/>
                  <w:numPr>
                    <w:ilvl w:val="0"/>
                    <w:numId w:val="20"/>
                  </w:numPr>
                  <w:ind w:left="454"/>
                  <w:jc w:val="both"/>
                  <w:rPr>
                    <w:rFonts w:ascii="Arial" w:hAnsi="Arial" w:cs="Arial"/>
                  </w:rPr>
                </w:pPr>
                <w:r w:rsidRPr="00B655DF">
                  <w:rPr>
                    <w:rFonts w:ascii="Arial" w:hAnsi="Arial" w:cs="Arial"/>
                  </w:rPr>
                  <w:t>A proven track record of senior social care, leadership underpinned by an understanding of the NHS, social care and their infrastructure</w:t>
                </w:r>
              </w:p>
              <w:p w:rsidR="00C04931" w:rsidRPr="00B655DF" w:rsidRDefault="00C04931" w:rsidP="00C04931">
                <w:pPr>
                  <w:pStyle w:val="ListParagraph"/>
                  <w:numPr>
                    <w:ilvl w:val="0"/>
                    <w:numId w:val="20"/>
                  </w:numPr>
                  <w:ind w:left="454"/>
                  <w:jc w:val="both"/>
                  <w:rPr>
                    <w:rFonts w:ascii="Arial" w:hAnsi="Arial" w:cs="Arial"/>
                  </w:rPr>
                </w:pPr>
                <w:r w:rsidRPr="00B655DF">
                  <w:rPr>
                    <w:rFonts w:ascii="Arial" w:hAnsi="Arial" w:cs="Arial"/>
                  </w:rPr>
                  <w:t>High level of managerial competence with the ability to lead and manage change in a complex and dynamic organisational environment.</w:t>
                </w:r>
              </w:p>
              <w:p w:rsidR="00C04931" w:rsidRPr="00B655DF" w:rsidRDefault="00C04931" w:rsidP="00C04931">
                <w:pPr>
                  <w:pStyle w:val="ListParagraph"/>
                  <w:numPr>
                    <w:ilvl w:val="0"/>
                    <w:numId w:val="20"/>
                  </w:numPr>
                  <w:ind w:left="454"/>
                  <w:jc w:val="both"/>
                  <w:rPr>
                    <w:rFonts w:ascii="Arial" w:hAnsi="Arial" w:cs="Arial"/>
                  </w:rPr>
                </w:pPr>
                <w:r w:rsidRPr="00B655DF">
                  <w:rPr>
                    <w:rFonts w:ascii="Arial" w:hAnsi="Arial" w:cs="Arial"/>
                  </w:rPr>
                  <w:t>A proven track record of strategy and policy development impacting positively on the modernisation of professional practice.</w:t>
                </w:r>
              </w:p>
              <w:p w:rsidR="00C04931" w:rsidRPr="00B655DF" w:rsidRDefault="00C04931" w:rsidP="00C04931">
                <w:pPr>
                  <w:pStyle w:val="ListParagraph"/>
                  <w:numPr>
                    <w:ilvl w:val="0"/>
                    <w:numId w:val="20"/>
                  </w:numPr>
                  <w:ind w:left="454"/>
                  <w:jc w:val="both"/>
                  <w:rPr>
                    <w:rFonts w:ascii="Arial" w:hAnsi="Arial"/>
                  </w:rPr>
                </w:pPr>
                <w:r w:rsidRPr="00B655DF">
                  <w:rPr>
                    <w:rFonts w:ascii="Arial" w:hAnsi="Arial"/>
                  </w:rPr>
                  <w:t>Evidence of experience in building effective networks at senior levels and using these to make improvements</w:t>
                </w:r>
              </w:p>
              <w:p w:rsidR="00F056D2" w:rsidRPr="00F056D2" w:rsidRDefault="00C04931" w:rsidP="00F056D2">
                <w:pPr>
                  <w:pStyle w:val="ListParagraph"/>
                  <w:numPr>
                    <w:ilvl w:val="0"/>
                    <w:numId w:val="20"/>
                  </w:numPr>
                  <w:ind w:left="454"/>
                  <w:jc w:val="both"/>
                  <w:rPr>
                    <w:rFonts w:ascii="Arial" w:hAnsi="Arial"/>
                  </w:rPr>
                </w:pPr>
                <w:r w:rsidRPr="00B655DF">
                  <w:rPr>
                    <w:rFonts w:ascii="Arial" w:hAnsi="Arial" w:cs="Arial"/>
                  </w:rPr>
                  <w:t>Knowledge of the care sector and ability to implement integrated models of care</w:t>
                </w:r>
              </w:p>
              <w:p w:rsidR="00F056D2" w:rsidRPr="00F056D2" w:rsidRDefault="00F056D2" w:rsidP="00F056D2">
                <w:pPr>
                  <w:pStyle w:val="ListParagraph"/>
                  <w:numPr>
                    <w:ilvl w:val="0"/>
                    <w:numId w:val="20"/>
                  </w:numPr>
                  <w:ind w:left="454"/>
                  <w:jc w:val="both"/>
                  <w:rPr>
                    <w:rFonts w:ascii="Arial" w:hAnsi="Arial"/>
                  </w:rPr>
                </w:pPr>
                <w:r w:rsidRPr="00F056D2">
                  <w:rPr>
                    <w:rFonts w:ascii="Arial" w:hAnsi="Arial"/>
                  </w:rPr>
                  <w:t xml:space="preserve">Knowledge of the safeguarding agenda </w:t>
                </w:r>
              </w:p>
              <w:p w:rsidR="00F056D2" w:rsidRPr="00F056D2" w:rsidRDefault="00F056D2" w:rsidP="00F056D2">
                <w:pPr>
                  <w:ind w:left="94"/>
                  <w:jc w:val="both"/>
                  <w:rPr>
                    <w:rFonts w:ascii="Arial" w:hAnsi="Arial"/>
                  </w:rPr>
                </w:pPr>
              </w:p>
              <w:p w:rsidR="00D4435D" w:rsidRPr="007E0DA7" w:rsidRDefault="00E6255C" w:rsidP="00C04931">
                <w:pPr>
                  <w:pStyle w:val="ListParagraph"/>
                  <w:ind w:left="454"/>
                  <w:jc w:val="both"/>
                  <w:rPr>
                    <w:rFonts w:ascii="Arial" w:hAnsi="Arial"/>
                  </w:rPr>
                </w:pPr>
              </w:p>
            </w:sdtContent>
          </w:sdt>
        </w:tc>
        <w:tc>
          <w:tcPr>
            <w:tcW w:w="236" w:type="dxa"/>
            <w:shd w:val="clear" w:color="auto" w:fill="auto"/>
          </w:tcPr>
          <w:p w:rsidR="00D4435D" w:rsidRPr="007E0DA7" w:rsidRDefault="00D4435D" w:rsidP="003A58D4">
            <w:pPr>
              <w:pStyle w:val="ListParagraph"/>
              <w:ind w:left="454"/>
              <w:jc w:val="both"/>
              <w:rPr>
                <w:rFonts w:ascii="Arial" w:hAnsi="Arial"/>
              </w:rPr>
            </w:pPr>
          </w:p>
        </w:tc>
        <w:tc>
          <w:tcPr>
            <w:tcW w:w="7987" w:type="dxa"/>
            <w:gridSpan w:val="6"/>
            <w:tcBorders>
              <w:bottom w:val="nil"/>
            </w:tcBorders>
            <w:shd w:val="clear" w:color="auto" w:fill="auto"/>
          </w:tcPr>
          <w:p w:rsidR="00F056D2" w:rsidRPr="00F056D2" w:rsidRDefault="00EF39E1" w:rsidP="005B42B0">
            <w:pPr>
              <w:pStyle w:val="ListParagraph"/>
              <w:numPr>
                <w:ilvl w:val="0"/>
                <w:numId w:val="20"/>
              </w:numPr>
              <w:ind w:left="258" w:hanging="218"/>
              <w:jc w:val="both"/>
              <w:rPr>
                <w:rFonts w:ascii="Arial" w:hAnsi="Arial"/>
              </w:rPr>
            </w:pPr>
            <w:r w:rsidRPr="00F056D2">
              <w:rPr>
                <w:rFonts w:ascii="Arial" w:hAnsi="Arial"/>
              </w:rPr>
              <w:fldChar w:fldCharType="begin">
                <w:ffData>
                  <w:name w:val="Text12"/>
                  <w:enabled/>
                  <w:calcOnExit w:val="0"/>
                  <w:textInput/>
                </w:ffData>
              </w:fldChar>
            </w:r>
            <w:bookmarkStart w:id="1" w:name="Text12"/>
            <w:r w:rsidR="0018083D" w:rsidRPr="00F056D2">
              <w:rPr>
                <w:rFonts w:ascii="Arial" w:hAnsi="Arial"/>
              </w:rPr>
              <w:instrText xml:space="preserve"> FORMTEXT </w:instrText>
            </w:r>
            <w:r>
              <w:rPr>
                <w:rFonts w:ascii="Arial" w:hAnsi="Arial"/>
              </w:rPr>
            </w:r>
            <w:r w:rsidRPr="00F056D2">
              <w:rPr>
                <w:rFonts w:ascii="Arial" w:hAnsi="Arial"/>
              </w:rPr>
              <w:fldChar w:fldCharType="separate"/>
            </w:r>
            <w:r w:rsidR="00F056D2" w:rsidRPr="00F056D2">
              <w:rPr>
                <w:rFonts w:ascii="Arial" w:hAnsi="Arial"/>
              </w:rPr>
              <w:t>Knowledge of the requirements of professional leadership and ability to implement systems and processes that maintain them</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Knowledge of the independence agenda and ability to implement and sustain services which deliver it</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Resilient with an innovative approach and ability to inspire and enthuse others as well as hold to account</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 xml:space="preserve">The intellect and interpersonal skills to command the respect of senior practitioners and managers, Elected Members and Clinical Commissioners </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Evidence of holding to a clear strategy and set of values while responding appropriately to short-term challenges and priorities</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Personal attributes including emotional intelligence, communication skills’ resilience, determination and an energising, innovative and improving spirit combined with operational and financial rigour and discipline and holding to account for performance</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Flexibility to respond to changing conditions while remaining clear – sighted on service strategies and objective</w:t>
            </w:r>
          </w:p>
          <w:p w:rsidR="00F056D2" w:rsidRPr="00F056D2" w:rsidRDefault="00F056D2" w:rsidP="005B42B0">
            <w:pPr>
              <w:pStyle w:val="ListParagraph"/>
              <w:numPr>
                <w:ilvl w:val="0"/>
                <w:numId w:val="20"/>
              </w:numPr>
              <w:ind w:left="258" w:hanging="218"/>
              <w:jc w:val="both"/>
              <w:rPr>
                <w:rFonts w:ascii="Arial" w:hAnsi="Arial"/>
              </w:rPr>
            </w:pPr>
            <w:r w:rsidRPr="00F056D2">
              <w:rPr>
                <w:rFonts w:ascii="Arial" w:hAnsi="Arial"/>
              </w:rPr>
              <w:t>Ability to travel within the requirements of the post</w:t>
            </w:r>
          </w:p>
          <w:p w:rsidR="00D4435D" w:rsidRPr="007E0DA7" w:rsidRDefault="00F056D2" w:rsidP="005B42B0">
            <w:pPr>
              <w:pStyle w:val="ListParagraph"/>
              <w:numPr>
                <w:ilvl w:val="0"/>
                <w:numId w:val="20"/>
              </w:numPr>
              <w:ind w:left="258" w:hanging="218"/>
              <w:jc w:val="both"/>
              <w:rPr>
                <w:rFonts w:ascii="Arial" w:hAnsi="Arial"/>
              </w:rPr>
            </w:pPr>
            <w:r w:rsidRPr="00F056D2">
              <w:rPr>
                <w:rFonts w:ascii="Arial" w:hAnsi="Arial"/>
              </w:rPr>
              <w:t>Demonstrable evidence of creating and fostering a culture of openness, honesty, integrity and inclusiveness.</w:t>
            </w:r>
            <w:r w:rsidR="00EF39E1">
              <w:rPr>
                <w:rFonts w:ascii="Arial" w:hAnsi="Arial"/>
              </w:rPr>
              <w:fldChar w:fldCharType="end"/>
            </w:r>
            <w:bookmarkEnd w:id="1"/>
          </w:p>
        </w:tc>
      </w:tr>
      <w:tr w:rsidR="00C53BB3" w:rsidRPr="00CC473C" w:rsidTr="00F10F05">
        <w:tc>
          <w:tcPr>
            <w:tcW w:w="10598"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leadership behaviours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gridSpan w:val="4"/>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howingPlcHdr/>
      </w:sdtPr>
      <w:sdtContent>
        <w:p w:rsidR="008037B4" w:rsidRPr="00CC473C" w:rsidRDefault="00AA392A" w:rsidP="003A58D4">
          <w:pPr>
            <w:spacing w:after="0" w:line="240" w:lineRule="auto"/>
            <w:jc w:val="both"/>
            <w:rPr>
              <w:rFonts w:ascii="Arial" w:hAnsi="Arial"/>
            </w:rPr>
          </w:pPr>
          <w:r w:rsidRPr="00B56B75">
            <w:rPr>
              <w:rStyle w:val="PlaceholderText"/>
            </w:rPr>
            <w:t>Click here to enter text.</w:t>
          </w:r>
        </w:p>
      </w:sdtContent>
    </w:sdt>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22" w:rsidRDefault="006A4722" w:rsidP="00C84CCD">
      <w:pPr>
        <w:spacing w:after="0" w:line="240" w:lineRule="auto"/>
      </w:pPr>
      <w:r>
        <w:separator/>
      </w:r>
    </w:p>
  </w:endnote>
  <w:endnote w:type="continuationSeparator" w:id="0">
    <w:p w:rsidR="006A4722" w:rsidRDefault="006A4722"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22" w:rsidRDefault="006A4722" w:rsidP="00C84CCD">
      <w:pPr>
        <w:spacing w:after="0" w:line="240" w:lineRule="auto"/>
      </w:pPr>
      <w:r>
        <w:separator/>
      </w:r>
    </w:p>
  </w:footnote>
  <w:footnote w:type="continuationSeparator" w:id="0">
    <w:p w:rsidR="006A4722" w:rsidRDefault="006A4722"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22" w:rsidRDefault="006A47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6"/>
    <w:multiLevelType w:val="multilevel"/>
    <w:tmpl w:val="00000899"/>
    <w:lvl w:ilvl="0">
      <w:numFmt w:val="bullet"/>
      <w:lvlText w:val=""/>
      <w:lvlJc w:val="left"/>
      <w:pPr>
        <w:ind w:hanging="255"/>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B413C5"/>
    <w:multiLevelType w:val="hybridMultilevel"/>
    <w:tmpl w:val="4810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1E7F3737"/>
    <w:multiLevelType w:val="hybridMultilevel"/>
    <w:tmpl w:val="08E454F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21B93"/>
    <w:multiLevelType w:val="hybridMultilevel"/>
    <w:tmpl w:val="32FA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4D6187"/>
    <w:multiLevelType w:val="hybridMultilevel"/>
    <w:tmpl w:val="657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4"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C59DB"/>
    <w:multiLevelType w:val="hybridMultilevel"/>
    <w:tmpl w:val="CF68711E"/>
    <w:lvl w:ilvl="0" w:tplc="3DAEABEE">
      <w:start w:val="1"/>
      <w:numFmt w:val="bullet"/>
      <w:lvlText w:val=""/>
      <w:lvlJc w:val="left"/>
      <w:pPr>
        <w:ind w:left="1176" w:hanging="360"/>
      </w:pPr>
      <w:rPr>
        <w:rFonts w:ascii="Symbol" w:hAnsi="Symbol" w:hint="default"/>
        <w:color w:val="E60088"/>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1"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F4C59"/>
    <w:multiLevelType w:val="hybridMultilevel"/>
    <w:tmpl w:val="74265F0A"/>
    <w:lvl w:ilvl="0" w:tplc="3DAEABEE">
      <w:start w:val="1"/>
      <w:numFmt w:val="bullet"/>
      <w:lvlText w:val=""/>
      <w:lvlJc w:val="left"/>
      <w:pPr>
        <w:ind w:left="1080" w:hanging="360"/>
      </w:pPr>
      <w:rPr>
        <w:rFonts w:ascii="Symbol" w:hAnsi="Symbol" w:hint="default"/>
        <w:color w:val="E600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6"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8"/>
  </w:num>
  <w:num w:numId="4">
    <w:abstractNumId w:val="17"/>
  </w:num>
  <w:num w:numId="5">
    <w:abstractNumId w:val="3"/>
  </w:num>
  <w:num w:numId="6">
    <w:abstractNumId w:val="12"/>
  </w:num>
  <w:num w:numId="7">
    <w:abstractNumId w:val="14"/>
  </w:num>
  <w:num w:numId="8">
    <w:abstractNumId w:val="6"/>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5"/>
  </w:num>
  <w:num w:numId="12">
    <w:abstractNumId w:val="16"/>
  </w:num>
  <w:num w:numId="13">
    <w:abstractNumId w:val="5"/>
  </w:num>
  <w:num w:numId="14">
    <w:abstractNumId w:val="19"/>
  </w:num>
  <w:num w:numId="15">
    <w:abstractNumId w:val="21"/>
  </w:num>
  <w:num w:numId="16">
    <w:abstractNumId w:val="4"/>
  </w:num>
  <w:num w:numId="17">
    <w:abstractNumId w:val="24"/>
  </w:num>
  <w:num w:numId="18">
    <w:abstractNumId w:val="26"/>
  </w:num>
  <w:num w:numId="19">
    <w:abstractNumId w:val="2"/>
  </w:num>
  <w:num w:numId="20">
    <w:abstractNumId w:val="11"/>
  </w:num>
  <w:num w:numId="21">
    <w:abstractNumId w:val="13"/>
  </w:num>
  <w:num w:numId="22">
    <w:abstractNumId w:val="23"/>
  </w:num>
  <w:num w:numId="23">
    <w:abstractNumId w:val="28"/>
  </w:num>
  <w:num w:numId="24">
    <w:abstractNumId w:val="15"/>
  </w:num>
  <w:num w:numId="25">
    <w:abstractNumId w:val="20"/>
  </w:num>
  <w:num w:numId="26">
    <w:abstractNumId w:val="10"/>
  </w:num>
  <w:num w:numId="27">
    <w:abstractNumId w:val="1"/>
  </w:num>
  <w:num w:numId="28">
    <w:abstractNumId w:val="0"/>
  </w:num>
  <w:num w:numId="29">
    <w:abstractNumId w:val="8"/>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2B0"/>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4722"/>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2A"/>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4931"/>
    <w:rsid w:val="00C064CC"/>
    <w:rsid w:val="00C064DD"/>
    <w:rsid w:val="00C070EF"/>
    <w:rsid w:val="00C10251"/>
    <w:rsid w:val="00C105F6"/>
    <w:rsid w:val="00C1147E"/>
    <w:rsid w:val="00C1158D"/>
    <w:rsid w:val="00C13444"/>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859"/>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255C"/>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056D2"/>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C03CE2E0-69F7-4D88-831D-A7475CEC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627DE132275541D9B310CA5A02602C75"/>
        <w:category>
          <w:name w:val="General"/>
          <w:gallery w:val="placeholder"/>
        </w:category>
        <w:types>
          <w:type w:val="bbPlcHdr"/>
        </w:types>
        <w:behaviors>
          <w:behavior w:val="content"/>
        </w:behaviors>
        <w:guid w:val="{E79F601A-04CA-4046-8E49-3ED4BD04D321}"/>
      </w:docPartPr>
      <w:docPartBody>
        <w:p w:rsidR="0068394B" w:rsidRDefault="0068394B" w:rsidP="0068394B">
          <w:pPr>
            <w:pStyle w:val="627DE132275541D9B310CA5A02602C75"/>
          </w:pPr>
          <w:r w:rsidRPr="00B56B75">
            <w:rPr>
              <w:rStyle w:val="PlaceholderText"/>
            </w:rPr>
            <w:t>Click here to enter text.</w:t>
          </w:r>
        </w:p>
      </w:docPartBody>
    </w:docPart>
    <w:docPart>
      <w:docPartPr>
        <w:name w:val="B0126FCC1E56495F93AAA45FA03AA2F3"/>
        <w:category>
          <w:name w:val="General"/>
          <w:gallery w:val="placeholder"/>
        </w:category>
        <w:types>
          <w:type w:val="bbPlcHdr"/>
        </w:types>
        <w:behaviors>
          <w:behavior w:val="content"/>
        </w:behaviors>
        <w:guid w:val="{EA72341B-BB85-4456-B0B3-598BAE162A5A}"/>
      </w:docPartPr>
      <w:docPartBody>
        <w:p w:rsidR="0068394B" w:rsidRDefault="0068394B" w:rsidP="0068394B">
          <w:pPr>
            <w:pStyle w:val="B0126FCC1E56495F93AAA45FA03AA2F3"/>
          </w:pPr>
          <w:r w:rsidRPr="00B56B75">
            <w:rPr>
              <w:rStyle w:val="PlaceholderText"/>
            </w:rPr>
            <w:t>Click here to enter text.</w:t>
          </w:r>
        </w:p>
      </w:docPartBody>
    </w:docPart>
    <w:docPart>
      <w:docPartPr>
        <w:name w:val="C236CBF1086344A484D1CAB143210FD8"/>
        <w:category>
          <w:name w:val="General"/>
          <w:gallery w:val="placeholder"/>
        </w:category>
        <w:types>
          <w:type w:val="bbPlcHdr"/>
        </w:types>
        <w:behaviors>
          <w:behavior w:val="content"/>
        </w:behaviors>
        <w:guid w:val="{7FD7A43D-AABC-4FA0-9EE5-58D259F516EE}"/>
      </w:docPartPr>
      <w:docPartBody>
        <w:p w:rsidR="0068394B" w:rsidRDefault="0068394B" w:rsidP="0068394B">
          <w:pPr>
            <w:pStyle w:val="C236CBF1086344A484D1CAB143210FD8"/>
          </w:pPr>
          <w:r w:rsidRPr="00B56B75">
            <w:rPr>
              <w:rStyle w:val="PlaceholderText"/>
            </w:rPr>
            <w:t>Click here to enter text.</w:t>
          </w:r>
        </w:p>
      </w:docPartBody>
    </w:docPart>
    <w:docPart>
      <w:docPartPr>
        <w:name w:val="81DC58EF75334886A34C060E75E5B9A5"/>
        <w:category>
          <w:name w:val="General"/>
          <w:gallery w:val="placeholder"/>
        </w:category>
        <w:types>
          <w:type w:val="bbPlcHdr"/>
        </w:types>
        <w:behaviors>
          <w:behavior w:val="content"/>
        </w:behaviors>
        <w:guid w:val="{9762B1AA-1B9B-4650-B4A0-8CAE67A4C3F4}"/>
      </w:docPartPr>
      <w:docPartBody>
        <w:p w:rsidR="0068394B" w:rsidRDefault="0068394B" w:rsidP="0068394B">
          <w:pPr>
            <w:pStyle w:val="81DC58EF75334886A34C060E75E5B9A5"/>
          </w:pPr>
          <w:r w:rsidRPr="00B56B75">
            <w:rPr>
              <w:rStyle w:val="PlaceholderText"/>
            </w:rPr>
            <w:t>Click here to enter text.</w:t>
          </w:r>
        </w:p>
      </w:docPartBody>
    </w:docPart>
    <w:docPart>
      <w:docPartPr>
        <w:name w:val="FA5C01EF56664BB081E267A36D4C9DEB"/>
        <w:category>
          <w:name w:val="General"/>
          <w:gallery w:val="placeholder"/>
        </w:category>
        <w:types>
          <w:type w:val="bbPlcHdr"/>
        </w:types>
        <w:behaviors>
          <w:behavior w:val="content"/>
        </w:behaviors>
        <w:guid w:val="{C721D951-FE96-4567-9687-BB1B8C9B8A98}"/>
      </w:docPartPr>
      <w:docPartBody>
        <w:p w:rsidR="0068394B" w:rsidRDefault="0068394B" w:rsidP="0068394B">
          <w:pPr>
            <w:pStyle w:val="FA5C01EF56664BB081E267A36D4C9DEB"/>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F6851"/>
    <w:rsid w:val="0068394B"/>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94B"/>
    <w:rPr>
      <w:color w:val="808080"/>
    </w:rPr>
  </w:style>
  <w:style w:type="paragraph" w:customStyle="1" w:styleId="627DE132275541D9B310CA5A02602C75">
    <w:name w:val="627DE132275541D9B310CA5A02602C75"/>
    <w:rsid w:val="0068394B"/>
    <w:pPr>
      <w:spacing w:after="160" w:line="259" w:lineRule="auto"/>
    </w:pPr>
  </w:style>
  <w:style w:type="paragraph" w:customStyle="1" w:styleId="A3C5A9B928FE404FABB562923A3F6DCB">
    <w:name w:val="A3C5A9B928FE404FABB562923A3F6DCB"/>
    <w:rsid w:val="0068394B"/>
    <w:pPr>
      <w:spacing w:after="160" w:line="259" w:lineRule="auto"/>
    </w:pPr>
  </w:style>
  <w:style w:type="paragraph" w:customStyle="1" w:styleId="87DD66BB7618406BB72B30C26FF140C6">
    <w:name w:val="87DD66BB7618406BB72B30C26FF140C6"/>
    <w:rsid w:val="0068394B"/>
    <w:pPr>
      <w:spacing w:after="160" w:line="259" w:lineRule="auto"/>
    </w:pPr>
  </w:style>
  <w:style w:type="paragraph" w:customStyle="1" w:styleId="B0126FCC1E56495F93AAA45FA03AA2F3">
    <w:name w:val="B0126FCC1E56495F93AAA45FA03AA2F3"/>
    <w:rsid w:val="0068394B"/>
    <w:pPr>
      <w:spacing w:after="160" w:line="259" w:lineRule="auto"/>
    </w:pPr>
  </w:style>
  <w:style w:type="paragraph" w:customStyle="1" w:styleId="C236CBF1086344A484D1CAB143210FD8">
    <w:name w:val="C236CBF1086344A484D1CAB143210FD8"/>
    <w:rsid w:val="0068394B"/>
    <w:pPr>
      <w:spacing w:after="160" w:line="259" w:lineRule="auto"/>
    </w:pPr>
  </w:style>
  <w:style w:type="paragraph" w:customStyle="1" w:styleId="F87BB991C2FA4F13B8AD2531D6B073D4">
    <w:name w:val="F87BB991C2FA4F13B8AD2531D6B073D4"/>
    <w:rsid w:val="0068394B"/>
    <w:pPr>
      <w:spacing w:after="160" w:line="259" w:lineRule="auto"/>
    </w:pPr>
  </w:style>
  <w:style w:type="paragraph" w:customStyle="1" w:styleId="81DC58EF75334886A34C060E75E5B9A5">
    <w:name w:val="81DC58EF75334886A34C060E75E5B9A5"/>
    <w:rsid w:val="0068394B"/>
    <w:pPr>
      <w:spacing w:after="160" w:line="259" w:lineRule="auto"/>
    </w:pPr>
  </w:style>
  <w:style w:type="paragraph" w:customStyle="1" w:styleId="07EABD10194241868BBBE8FB134DC5BE">
    <w:name w:val="07EABD10194241868BBBE8FB134DC5BE"/>
    <w:rsid w:val="0068394B"/>
    <w:pPr>
      <w:spacing w:after="160" w:line="259" w:lineRule="auto"/>
    </w:pPr>
  </w:style>
  <w:style w:type="paragraph" w:customStyle="1" w:styleId="FA5C01EF56664BB081E267A36D4C9DEB">
    <w:name w:val="FA5C01EF56664BB081E267A36D4C9DEB"/>
    <w:rsid w:val="006839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51BB-7B85-4092-B005-1BAB8A9B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Sharples, Catherine</cp:lastModifiedBy>
  <cp:revision>4</cp:revision>
  <cp:lastPrinted>2018-01-05T15:35:00Z</cp:lastPrinted>
  <dcterms:created xsi:type="dcterms:W3CDTF">2019-10-18T10:48:00Z</dcterms:created>
  <dcterms:modified xsi:type="dcterms:W3CDTF">2019-10-18T11:07:00Z</dcterms:modified>
</cp:coreProperties>
</file>