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11089" w14:textId="77777777" w:rsidR="006D2948" w:rsidRDefault="006D2948" w:rsidP="006D2948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ROLE DESCRIPTION</w:t>
      </w:r>
    </w:p>
    <w:p w14:paraId="17C42EC4" w14:textId="77777777" w:rsidR="006D2948" w:rsidRDefault="006D2948" w:rsidP="006D2948">
      <w:pPr>
        <w:rPr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="006D2948" w:rsidRPr="000C0E5A" w14:paraId="1D169B0A" w14:textId="77777777" w:rsidTr="00447739">
        <w:trPr>
          <w:jc w:val="center"/>
        </w:trPr>
        <w:tc>
          <w:tcPr>
            <w:tcW w:w="2840" w:type="dxa"/>
          </w:tcPr>
          <w:p w14:paraId="5C42C442" w14:textId="77777777" w:rsidR="006D2948" w:rsidRPr="000C0E5A" w:rsidRDefault="006D2948" w:rsidP="00447739">
            <w:pPr>
              <w:spacing w:before="60" w:after="60"/>
            </w:pPr>
            <w:r w:rsidRPr="000C0E5A">
              <w:rPr>
                <w:sz w:val="22"/>
                <w:szCs w:val="22"/>
              </w:rPr>
              <w:t>Role Title</w:t>
            </w:r>
          </w:p>
        </w:tc>
        <w:tc>
          <w:tcPr>
            <w:tcW w:w="2841" w:type="dxa"/>
          </w:tcPr>
          <w:p w14:paraId="086FF484" w14:textId="77777777" w:rsidR="006D2948" w:rsidRPr="000C0E5A" w:rsidRDefault="006D2948" w:rsidP="00447739">
            <w:pPr>
              <w:spacing w:before="60" w:after="60"/>
            </w:pPr>
            <w:r w:rsidRPr="000C0E5A">
              <w:rPr>
                <w:sz w:val="22"/>
                <w:szCs w:val="22"/>
              </w:rPr>
              <w:t>Business/Operating Group</w:t>
            </w:r>
          </w:p>
        </w:tc>
        <w:tc>
          <w:tcPr>
            <w:tcW w:w="2841" w:type="dxa"/>
          </w:tcPr>
          <w:p w14:paraId="4A042BF1" w14:textId="77777777" w:rsidR="006D2948" w:rsidRPr="000C0E5A" w:rsidRDefault="006D2948" w:rsidP="00447739">
            <w:pPr>
              <w:spacing w:before="60" w:after="60"/>
            </w:pPr>
            <w:r w:rsidRPr="000C0E5A">
              <w:rPr>
                <w:sz w:val="22"/>
                <w:szCs w:val="22"/>
              </w:rPr>
              <w:t>Reports to</w:t>
            </w:r>
          </w:p>
        </w:tc>
      </w:tr>
      <w:tr w:rsidR="006D2948" w:rsidRPr="000C0E5A" w14:paraId="6FBB7B37" w14:textId="77777777" w:rsidTr="00447739">
        <w:trPr>
          <w:jc w:val="center"/>
        </w:trPr>
        <w:tc>
          <w:tcPr>
            <w:tcW w:w="2840" w:type="dxa"/>
          </w:tcPr>
          <w:p w14:paraId="074683FC" w14:textId="33439D41" w:rsidR="006D2948" w:rsidRPr="000C0E5A" w:rsidRDefault="008E031A" w:rsidP="008E031A">
            <w:pPr>
              <w:spacing w:before="60" w:after="60"/>
            </w:pPr>
            <w:r>
              <w:rPr>
                <w:sz w:val="22"/>
                <w:szCs w:val="22"/>
              </w:rPr>
              <w:t>Senior</w:t>
            </w:r>
            <w:r w:rsidR="006D2948">
              <w:rPr>
                <w:sz w:val="22"/>
                <w:szCs w:val="22"/>
              </w:rPr>
              <w:t xml:space="preserve"> </w:t>
            </w:r>
            <w:r w:rsidR="006D2948" w:rsidRPr="000C0E5A">
              <w:rPr>
                <w:sz w:val="22"/>
                <w:szCs w:val="22"/>
              </w:rPr>
              <w:t>Consultant</w:t>
            </w:r>
          </w:p>
        </w:tc>
        <w:tc>
          <w:tcPr>
            <w:tcW w:w="2841" w:type="dxa"/>
          </w:tcPr>
          <w:p w14:paraId="37421A9D" w14:textId="1D6247DB" w:rsidR="006D2948" w:rsidRPr="000C0E5A" w:rsidRDefault="00366F28" w:rsidP="00447739">
            <w:pPr>
              <w:spacing w:before="60" w:after="60"/>
            </w:pPr>
            <w:r>
              <w:rPr>
                <w:sz w:val="22"/>
                <w:szCs w:val="22"/>
              </w:rPr>
              <w:t xml:space="preserve">Unity </w:t>
            </w:r>
            <w:r w:rsidR="006D2948">
              <w:rPr>
                <w:sz w:val="22"/>
                <w:szCs w:val="22"/>
              </w:rPr>
              <w:t>Business Change Services (BCS)</w:t>
            </w:r>
          </w:p>
        </w:tc>
        <w:tc>
          <w:tcPr>
            <w:tcW w:w="2841" w:type="dxa"/>
          </w:tcPr>
          <w:p w14:paraId="7E03B81F" w14:textId="14495647" w:rsidR="006D2948" w:rsidRPr="000C0E5A" w:rsidRDefault="008E031A" w:rsidP="001A56AC">
            <w:pPr>
              <w:spacing w:before="60" w:after="60"/>
              <w:ind w:left="720" w:hanging="720"/>
            </w:pPr>
            <w:r>
              <w:t>Principal Consultant</w:t>
            </w:r>
          </w:p>
        </w:tc>
      </w:tr>
    </w:tbl>
    <w:p w14:paraId="0672D3DC" w14:textId="77777777" w:rsidR="006D2948" w:rsidRPr="000C0E5A" w:rsidRDefault="006D2948" w:rsidP="006D2948">
      <w:pPr>
        <w:rPr>
          <w:sz w:val="22"/>
          <w:szCs w:val="22"/>
        </w:rPr>
      </w:pPr>
    </w:p>
    <w:p w14:paraId="7E366188" w14:textId="77777777" w:rsidR="006D2948" w:rsidRPr="000C0E5A" w:rsidRDefault="006D2948" w:rsidP="006D2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OVERVIEW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D2948" w:rsidRPr="00E60C9F" w14:paraId="16ADF27E" w14:textId="77777777" w:rsidTr="00447739">
        <w:trPr>
          <w:jc w:val="center"/>
        </w:trPr>
        <w:tc>
          <w:tcPr>
            <w:tcW w:w="8522" w:type="dxa"/>
          </w:tcPr>
          <w:p w14:paraId="07488A9B" w14:textId="66F6DA16" w:rsidR="006D2948" w:rsidRPr="00657E94" w:rsidRDefault="00366F28" w:rsidP="00447739">
            <w:p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Unity Partnerships</w:t>
            </w:r>
            <w:r w:rsidR="006D2948" w:rsidRPr="00657E94">
              <w:rPr>
                <w:iCs/>
                <w:sz w:val="21"/>
                <w:szCs w:val="21"/>
              </w:rPr>
              <w:t xml:space="preserve"> </w:t>
            </w:r>
            <w:r w:rsidR="006D2948">
              <w:rPr>
                <w:iCs/>
                <w:sz w:val="21"/>
                <w:szCs w:val="21"/>
              </w:rPr>
              <w:t>B</w:t>
            </w:r>
            <w:r w:rsidR="006D2948" w:rsidRPr="00657E94">
              <w:rPr>
                <w:iCs/>
                <w:sz w:val="21"/>
                <w:szCs w:val="21"/>
              </w:rPr>
              <w:t xml:space="preserve">usiness </w:t>
            </w:r>
            <w:r w:rsidR="006D2948">
              <w:rPr>
                <w:iCs/>
                <w:sz w:val="21"/>
                <w:szCs w:val="21"/>
              </w:rPr>
              <w:t>C</w:t>
            </w:r>
            <w:r w:rsidR="006D2948" w:rsidRPr="00657E94">
              <w:rPr>
                <w:iCs/>
                <w:sz w:val="21"/>
                <w:szCs w:val="21"/>
              </w:rPr>
              <w:t xml:space="preserve">hange </w:t>
            </w:r>
            <w:r w:rsidR="006D2948">
              <w:rPr>
                <w:iCs/>
                <w:sz w:val="21"/>
                <w:szCs w:val="21"/>
              </w:rPr>
              <w:t xml:space="preserve">Services (BCS) </w:t>
            </w:r>
            <w:r w:rsidR="006D2948" w:rsidRPr="00657E94">
              <w:rPr>
                <w:iCs/>
                <w:sz w:val="21"/>
                <w:szCs w:val="21"/>
              </w:rPr>
              <w:t xml:space="preserve">capability operates alongside our customers as they tackle the large-scale and challenging issues they face through their own transformation programmes.  </w:t>
            </w:r>
            <w:r w:rsidR="006D2948">
              <w:rPr>
                <w:iCs/>
                <w:sz w:val="21"/>
                <w:szCs w:val="21"/>
              </w:rPr>
              <w:t>We work</w:t>
            </w:r>
            <w:r w:rsidR="001A56AC">
              <w:rPr>
                <w:iCs/>
                <w:sz w:val="21"/>
                <w:szCs w:val="21"/>
              </w:rPr>
              <w:t xml:space="preserve"> with</w:t>
            </w:r>
            <w:r w:rsidR="006D2948" w:rsidRPr="00657E94">
              <w:rPr>
                <w:iCs/>
                <w:sz w:val="21"/>
                <w:szCs w:val="21"/>
              </w:rPr>
              <w:t xml:space="preserve"> colleagues to develop new business, including  the development of existing and new propositions, involved in both ‘opening’ and ‘closing’ activities.  </w:t>
            </w:r>
          </w:p>
          <w:p w14:paraId="04FA1AE1" w14:textId="67808428" w:rsidR="006D2948" w:rsidRPr="00E60C9F" w:rsidRDefault="006D2948" w:rsidP="00447739">
            <w:p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BCS</w:t>
            </w:r>
            <w:r w:rsidRPr="00657E94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also </w:t>
            </w:r>
            <w:r w:rsidRPr="00657E94">
              <w:rPr>
                <w:iCs/>
                <w:sz w:val="21"/>
                <w:szCs w:val="21"/>
              </w:rPr>
              <w:t xml:space="preserve">works with Service Line colleagues to ensure </w:t>
            </w:r>
            <w:r w:rsidR="00366F28">
              <w:rPr>
                <w:iCs/>
                <w:sz w:val="21"/>
                <w:szCs w:val="21"/>
              </w:rPr>
              <w:t>Unity</w:t>
            </w:r>
            <w:r w:rsidRPr="00657E94">
              <w:rPr>
                <w:iCs/>
                <w:sz w:val="21"/>
                <w:szCs w:val="21"/>
              </w:rPr>
              <w:t xml:space="preserve"> delivers against promises already made through </w:t>
            </w:r>
            <w:r>
              <w:rPr>
                <w:iCs/>
                <w:sz w:val="21"/>
                <w:szCs w:val="21"/>
              </w:rPr>
              <w:t xml:space="preserve">our current contracts. </w:t>
            </w:r>
            <w:r w:rsidRPr="0065384E">
              <w:rPr>
                <w:iCs/>
                <w:sz w:val="21"/>
                <w:szCs w:val="21"/>
              </w:rPr>
              <w:t xml:space="preserve">The </w:t>
            </w:r>
            <w:r>
              <w:rPr>
                <w:iCs/>
                <w:sz w:val="21"/>
                <w:szCs w:val="21"/>
              </w:rPr>
              <w:t>Business Change</w:t>
            </w:r>
            <w:r w:rsidRPr="0065384E">
              <w:rPr>
                <w:iCs/>
                <w:sz w:val="21"/>
                <w:szCs w:val="21"/>
              </w:rPr>
              <w:t xml:space="preserve"> capability is therefore absolutely fundamental to the future of </w:t>
            </w:r>
            <w:r w:rsidR="00366F28">
              <w:rPr>
                <w:iCs/>
                <w:sz w:val="21"/>
                <w:szCs w:val="21"/>
              </w:rPr>
              <w:t>Unity Partnership Ltd</w:t>
            </w:r>
            <w:r w:rsidRPr="0065384E">
              <w:rPr>
                <w:iCs/>
                <w:sz w:val="21"/>
                <w:szCs w:val="21"/>
              </w:rPr>
              <w:t>.</w:t>
            </w:r>
          </w:p>
          <w:p w14:paraId="09E5D08E" w14:textId="77777777" w:rsidR="006D2948" w:rsidRDefault="006D2948" w:rsidP="00447739">
            <w:p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Our consultants have </w:t>
            </w:r>
            <w:r w:rsidRPr="0065384E">
              <w:rPr>
                <w:iCs/>
                <w:sz w:val="21"/>
                <w:szCs w:val="21"/>
              </w:rPr>
              <w:t xml:space="preserve">strong evidence of </w:t>
            </w:r>
            <w:r>
              <w:rPr>
                <w:iCs/>
                <w:sz w:val="21"/>
                <w:szCs w:val="21"/>
              </w:rPr>
              <w:t>core consulting skills including but not limited to</w:t>
            </w:r>
            <w:r w:rsidRPr="0065384E">
              <w:rPr>
                <w:iCs/>
                <w:sz w:val="21"/>
                <w:szCs w:val="21"/>
              </w:rPr>
              <w:t>:</w:t>
            </w:r>
          </w:p>
          <w:p w14:paraId="507E8E82" w14:textId="77777777" w:rsidR="006D2948" w:rsidRDefault="006D2948" w:rsidP="006D2948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Big Conversations – the ability to introduce and participate in conversations about the biggest challenges facing our customers i.e. ‘How will I balance my books this year?’ or ‘How can I deliver Social Care Services better and cheaper?’ etc.</w:t>
            </w:r>
          </w:p>
          <w:p w14:paraId="222DF08A" w14:textId="77777777" w:rsidR="006D2948" w:rsidRDefault="006D2948" w:rsidP="006D2948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Organising and Planning – managing their own workload, organising any direct reports and managing virtual and matrix–managed teams where appropriate.</w:t>
            </w:r>
          </w:p>
          <w:p w14:paraId="57719368" w14:textId="77777777" w:rsidR="006D2948" w:rsidRDefault="006D2948" w:rsidP="006D2948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Finance and Commercial - knowledge about finance and commercial models appropriate to the public sector.</w:t>
            </w:r>
          </w:p>
          <w:p w14:paraId="3B30DC3E" w14:textId="77777777" w:rsidR="006D2948" w:rsidRDefault="006D2948" w:rsidP="006D2948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Analysis – the ability to take complex data and translate into meaningful and useful business information for decision making.</w:t>
            </w:r>
          </w:p>
          <w:p w14:paraId="5C7DF9BC" w14:textId="77777777" w:rsidR="006D2948" w:rsidRDefault="006D2948" w:rsidP="006D2948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Presentation and Written – convincing and well-considered presentations and succinct report writing skills.</w:t>
            </w:r>
          </w:p>
          <w:p w14:paraId="68A994CC" w14:textId="77777777" w:rsidR="00F32DC4" w:rsidRDefault="00F32DC4" w:rsidP="00F32DC4">
            <w:pPr>
              <w:pStyle w:val="ListParagraph"/>
              <w:spacing w:before="120" w:after="120"/>
              <w:ind w:left="360"/>
              <w:jc w:val="both"/>
              <w:rPr>
                <w:iCs/>
                <w:sz w:val="21"/>
                <w:szCs w:val="21"/>
              </w:rPr>
            </w:pPr>
          </w:p>
          <w:p w14:paraId="5BC71AB5" w14:textId="77777777" w:rsidR="000635B0" w:rsidRDefault="000635B0" w:rsidP="000635B0">
            <w:p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There are four capability areas of BCS:</w:t>
            </w:r>
          </w:p>
          <w:p w14:paraId="0058812D" w14:textId="77777777" w:rsidR="000635B0" w:rsidRPr="00CF1FB9" w:rsidRDefault="000635B0" w:rsidP="000635B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Performance Improvement (through Lean/Six Sigma and other appropriate methodologies)</w:t>
            </w:r>
          </w:p>
          <w:p w14:paraId="5E6052A5" w14:textId="77777777" w:rsidR="000635B0" w:rsidRDefault="000635B0" w:rsidP="000635B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Business change m</w:t>
            </w:r>
            <w:r w:rsidRPr="00CF1FB9">
              <w:rPr>
                <w:iCs/>
                <w:sz w:val="21"/>
                <w:szCs w:val="21"/>
              </w:rPr>
              <w:t>anagement</w:t>
            </w:r>
          </w:p>
          <w:p w14:paraId="304F5FBB" w14:textId="77777777" w:rsidR="000635B0" w:rsidRDefault="000635B0" w:rsidP="000635B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Service transition and transformational change</w:t>
            </w:r>
          </w:p>
          <w:p w14:paraId="70185E59" w14:textId="77777777" w:rsidR="000635B0" w:rsidRDefault="000635B0" w:rsidP="000635B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Project and programme management</w:t>
            </w:r>
          </w:p>
          <w:p w14:paraId="4BA87995" w14:textId="77777777" w:rsidR="000635B0" w:rsidRDefault="000635B0" w:rsidP="00F32DC4">
            <w:pPr>
              <w:pStyle w:val="ListParagraph"/>
              <w:spacing w:before="120" w:after="120"/>
              <w:ind w:left="360"/>
              <w:jc w:val="both"/>
              <w:rPr>
                <w:iCs/>
                <w:sz w:val="21"/>
                <w:szCs w:val="21"/>
              </w:rPr>
            </w:pPr>
          </w:p>
          <w:p w14:paraId="4CBE3472" w14:textId="58C8AB95" w:rsidR="00F32DC4" w:rsidRDefault="00FA2A6D" w:rsidP="00F32DC4">
            <w:p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Delivered across three</w:t>
            </w:r>
            <w:r w:rsidR="00F32DC4">
              <w:rPr>
                <w:iCs/>
                <w:sz w:val="21"/>
                <w:szCs w:val="21"/>
              </w:rPr>
              <w:t xml:space="preserve"> key markets:</w:t>
            </w:r>
          </w:p>
          <w:p w14:paraId="5E5C6B1B" w14:textId="13FBCFE9" w:rsidR="00F32DC4" w:rsidRPr="00366F28" w:rsidRDefault="00F32DC4" w:rsidP="00366F28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Local</w:t>
            </w:r>
            <w:r w:rsidR="00366F28">
              <w:rPr>
                <w:iCs/>
                <w:sz w:val="21"/>
                <w:szCs w:val="21"/>
              </w:rPr>
              <w:t>/Regional</w:t>
            </w:r>
            <w:r>
              <w:rPr>
                <w:iCs/>
                <w:sz w:val="21"/>
                <w:szCs w:val="21"/>
              </w:rPr>
              <w:t xml:space="preserve"> government</w:t>
            </w:r>
          </w:p>
          <w:p w14:paraId="3E63D252" w14:textId="7391AA64" w:rsidR="00366F28" w:rsidRDefault="00F32DC4" w:rsidP="00366F28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CCGs – Clinical Care Groups</w:t>
            </w:r>
          </w:p>
          <w:p w14:paraId="76AE989F" w14:textId="14A0BA6B" w:rsidR="00FA2A6D" w:rsidRPr="00FA2A6D" w:rsidRDefault="00FA2A6D" w:rsidP="00FA2A6D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Integrated Care Organis</w:t>
            </w:r>
            <w:r w:rsidRPr="00FA2A6D">
              <w:rPr>
                <w:iCs/>
                <w:sz w:val="21"/>
                <w:szCs w:val="21"/>
              </w:rPr>
              <w:t>a</w:t>
            </w:r>
            <w:r>
              <w:rPr>
                <w:iCs/>
                <w:sz w:val="21"/>
                <w:szCs w:val="21"/>
              </w:rPr>
              <w:t>t</w:t>
            </w:r>
            <w:r w:rsidRPr="00FA2A6D">
              <w:rPr>
                <w:iCs/>
                <w:sz w:val="21"/>
                <w:szCs w:val="21"/>
              </w:rPr>
              <w:t>ions</w:t>
            </w:r>
          </w:p>
          <w:p w14:paraId="65AE3919" w14:textId="59471701" w:rsidR="006D2948" w:rsidRPr="00BE5AF8" w:rsidRDefault="006D2948" w:rsidP="00447739">
            <w:p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Consultants working for BCS are expected to </w:t>
            </w:r>
            <w:r w:rsidR="00F32DC4">
              <w:rPr>
                <w:iCs/>
                <w:sz w:val="21"/>
                <w:szCs w:val="21"/>
              </w:rPr>
              <w:t>operate across our markets</w:t>
            </w:r>
            <w:r>
              <w:rPr>
                <w:iCs/>
                <w:sz w:val="21"/>
                <w:szCs w:val="21"/>
              </w:rPr>
              <w:t xml:space="preserve"> and have experience of delivery in</w:t>
            </w:r>
            <w:r w:rsidR="000635B0">
              <w:rPr>
                <w:iCs/>
                <w:sz w:val="21"/>
                <w:szCs w:val="21"/>
              </w:rPr>
              <w:t xml:space="preserve"> some of</w:t>
            </w:r>
            <w:r>
              <w:rPr>
                <w:iCs/>
                <w:sz w:val="21"/>
                <w:szCs w:val="21"/>
              </w:rPr>
              <w:t xml:space="preserve"> these areas. These include:</w:t>
            </w:r>
            <w:r w:rsidRPr="00BE5AF8">
              <w:rPr>
                <w:iCs/>
                <w:sz w:val="21"/>
                <w:szCs w:val="21"/>
              </w:rPr>
              <w:t xml:space="preserve"> Customer Service</w:t>
            </w:r>
            <w:r>
              <w:rPr>
                <w:iCs/>
                <w:sz w:val="21"/>
                <w:szCs w:val="21"/>
              </w:rPr>
              <w:t xml:space="preserve"> / Public Access</w:t>
            </w:r>
            <w:r w:rsidRPr="00BE5AF8">
              <w:rPr>
                <w:iCs/>
                <w:sz w:val="21"/>
                <w:szCs w:val="21"/>
              </w:rPr>
              <w:t xml:space="preserve">, Contact Centre Management; Revs and Bens; Payroll; HR; FM; Accountancy; BPO; Shared Services; </w:t>
            </w:r>
            <w:r w:rsidR="00641669">
              <w:rPr>
                <w:iCs/>
                <w:sz w:val="21"/>
                <w:szCs w:val="21"/>
              </w:rPr>
              <w:t xml:space="preserve">Health &amp; </w:t>
            </w:r>
            <w:r w:rsidRPr="00BE5AF8">
              <w:rPr>
                <w:iCs/>
                <w:sz w:val="21"/>
                <w:szCs w:val="21"/>
              </w:rPr>
              <w:t>Social Care, Regeneration; Edu</w:t>
            </w:r>
            <w:r w:rsidR="00366F28">
              <w:rPr>
                <w:iCs/>
                <w:sz w:val="21"/>
                <w:szCs w:val="21"/>
              </w:rPr>
              <w:t>cation; Highways: Property Services</w:t>
            </w:r>
          </w:p>
          <w:p w14:paraId="67D1569C" w14:textId="77777777" w:rsidR="006D2948" w:rsidRPr="00E60C9F" w:rsidRDefault="006D2948" w:rsidP="00447739">
            <w:pPr>
              <w:spacing w:before="120" w:after="120"/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 xml:space="preserve">The breadth of our offering comes from combining a consultancy approach with the hands-on, operational insight we have acquired from working with our public sector partners over many years. </w:t>
            </w:r>
          </w:p>
          <w:p w14:paraId="64F49967" w14:textId="76421918" w:rsidR="006D2948" w:rsidRPr="008C5DBB" w:rsidRDefault="006D2948" w:rsidP="00447739">
            <w:pPr>
              <w:spacing w:before="120" w:after="120"/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A re</w:t>
            </w:r>
            <w:r w:rsidR="00731EE3">
              <w:rPr>
                <w:iCs/>
                <w:sz w:val="21"/>
                <w:szCs w:val="21"/>
              </w:rPr>
              <w:t>qui</w:t>
            </w:r>
            <w:r w:rsidR="00366F28">
              <w:rPr>
                <w:iCs/>
                <w:sz w:val="21"/>
                <w:szCs w:val="21"/>
              </w:rPr>
              <w:t>rement for occasional</w:t>
            </w:r>
            <w:r w:rsidR="00731EE3">
              <w:rPr>
                <w:iCs/>
                <w:sz w:val="21"/>
                <w:szCs w:val="21"/>
              </w:rPr>
              <w:t xml:space="preserve"> travel with</w:t>
            </w:r>
            <w:r w:rsidRPr="0065384E">
              <w:rPr>
                <w:iCs/>
                <w:sz w:val="21"/>
                <w:szCs w:val="21"/>
              </w:rPr>
              <w:t xml:space="preserve"> overnight stays can be expected</w:t>
            </w:r>
            <w:r>
              <w:rPr>
                <w:iCs/>
                <w:sz w:val="21"/>
                <w:szCs w:val="21"/>
              </w:rPr>
              <w:t>.</w:t>
            </w:r>
          </w:p>
        </w:tc>
      </w:tr>
    </w:tbl>
    <w:p w14:paraId="2A3C78BB" w14:textId="77777777" w:rsidR="006D2948" w:rsidRPr="000C0E5A" w:rsidRDefault="006D2948" w:rsidP="006D2948">
      <w:pPr>
        <w:rPr>
          <w:sz w:val="22"/>
          <w:szCs w:val="22"/>
        </w:rPr>
      </w:pPr>
    </w:p>
    <w:p w14:paraId="6CF0772C" w14:textId="77777777" w:rsidR="006D2948" w:rsidRDefault="006D2948" w:rsidP="006D294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018B9A2" w14:textId="77777777" w:rsidR="006D2948" w:rsidRPr="000C0E5A" w:rsidRDefault="006D2948" w:rsidP="006D2948">
      <w:pPr>
        <w:outlineLvl w:val="0"/>
        <w:rPr>
          <w:b/>
          <w:sz w:val="22"/>
          <w:szCs w:val="22"/>
        </w:rPr>
      </w:pPr>
      <w:r w:rsidRPr="000C0E5A">
        <w:rPr>
          <w:b/>
          <w:sz w:val="22"/>
          <w:szCs w:val="22"/>
        </w:rPr>
        <w:lastRenderedPageBreak/>
        <w:t>DIMENSIONS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6D2948" w:rsidRPr="00E60C9F" w14:paraId="641CDA2C" w14:textId="77777777" w:rsidTr="00447739">
        <w:trPr>
          <w:jc w:val="center"/>
        </w:trPr>
        <w:tc>
          <w:tcPr>
            <w:tcW w:w="4261" w:type="dxa"/>
          </w:tcPr>
          <w:p w14:paraId="2F96765C" w14:textId="77777777" w:rsidR="006D2948" w:rsidRPr="00E60C9F" w:rsidRDefault="006D2948" w:rsidP="00447739">
            <w:pPr>
              <w:spacing w:before="60" w:after="60"/>
              <w:rPr>
                <w:sz w:val="21"/>
                <w:szCs w:val="21"/>
              </w:rPr>
            </w:pPr>
            <w:r w:rsidRPr="0065384E">
              <w:rPr>
                <w:sz w:val="21"/>
                <w:szCs w:val="21"/>
              </w:rPr>
              <w:t>Direct Reports</w:t>
            </w:r>
          </w:p>
        </w:tc>
        <w:tc>
          <w:tcPr>
            <w:tcW w:w="4261" w:type="dxa"/>
          </w:tcPr>
          <w:p w14:paraId="3A478096" w14:textId="77777777" w:rsidR="006D2948" w:rsidRPr="00E60C9F" w:rsidRDefault="006D2948" w:rsidP="00447739">
            <w:pPr>
              <w:spacing w:before="60" w:after="60"/>
              <w:rPr>
                <w:sz w:val="21"/>
                <w:szCs w:val="21"/>
              </w:rPr>
            </w:pPr>
            <w:r w:rsidRPr="0065384E">
              <w:rPr>
                <w:sz w:val="21"/>
                <w:szCs w:val="21"/>
              </w:rPr>
              <w:t>Budget Responsibility</w:t>
            </w:r>
          </w:p>
        </w:tc>
      </w:tr>
      <w:tr w:rsidR="006D2948" w:rsidRPr="00E60C9F" w14:paraId="4FEF3913" w14:textId="77777777" w:rsidTr="00447739">
        <w:trPr>
          <w:jc w:val="center"/>
        </w:trPr>
        <w:tc>
          <w:tcPr>
            <w:tcW w:w="4261" w:type="dxa"/>
          </w:tcPr>
          <w:p w14:paraId="41EAC877" w14:textId="77777777" w:rsidR="006D2948" w:rsidRPr="00E60C9F" w:rsidRDefault="006D2948" w:rsidP="0044773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Virtual and direct line people management</w:t>
            </w:r>
          </w:p>
        </w:tc>
        <w:tc>
          <w:tcPr>
            <w:tcW w:w="4261" w:type="dxa"/>
          </w:tcPr>
          <w:p w14:paraId="67194815" w14:textId="3CB1D3BD" w:rsidR="006D2948" w:rsidRPr="00E60C9F" w:rsidRDefault="006D2948" w:rsidP="0044773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Utilisation target to be agreed annually. There may be some devolved budget from service lead for sales and contribution</w:t>
            </w:r>
            <w:r w:rsidR="000635B0">
              <w:rPr>
                <w:sz w:val="21"/>
                <w:szCs w:val="21"/>
              </w:rPr>
              <w:t xml:space="preserve"> and for project accounting</w:t>
            </w:r>
          </w:p>
        </w:tc>
      </w:tr>
    </w:tbl>
    <w:p w14:paraId="276D79E0" w14:textId="77777777" w:rsidR="006D2948" w:rsidRDefault="006D2948" w:rsidP="006D2948">
      <w:pPr>
        <w:rPr>
          <w:sz w:val="22"/>
          <w:szCs w:val="22"/>
        </w:rPr>
      </w:pPr>
    </w:p>
    <w:p w14:paraId="2DE95666" w14:textId="77777777" w:rsidR="006D2948" w:rsidRDefault="006D2948" w:rsidP="006D2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PRINCIPAL ACCOUNTABILITIES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D2948" w:rsidRPr="00E60C9F" w14:paraId="3030C483" w14:textId="77777777" w:rsidTr="00447739">
        <w:trPr>
          <w:jc w:val="center"/>
        </w:trPr>
        <w:tc>
          <w:tcPr>
            <w:tcW w:w="8522" w:type="dxa"/>
          </w:tcPr>
          <w:p w14:paraId="6BA46097" w14:textId="1BF88597" w:rsidR="006D2948" w:rsidRPr="00E60C9F" w:rsidRDefault="008E031A" w:rsidP="00447739">
            <w:pPr>
              <w:spacing w:after="12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As a BCS Senior</w:t>
            </w:r>
            <w:r w:rsidR="006D2948">
              <w:rPr>
                <w:iCs/>
                <w:sz w:val="21"/>
                <w:szCs w:val="21"/>
              </w:rPr>
              <w:t xml:space="preserve"> Consultant </w:t>
            </w:r>
            <w:r w:rsidR="006D2948" w:rsidRPr="0065384E">
              <w:rPr>
                <w:iCs/>
                <w:sz w:val="21"/>
                <w:szCs w:val="21"/>
              </w:rPr>
              <w:t xml:space="preserve">you would expect </w:t>
            </w:r>
            <w:r w:rsidR="006D2948">
              <w:rPr>
                <w:iCs/>
                <w:sz w:val="21"/>
                <w:szCs w:val="21"/>
              </w:rPr>
              <w:t xml:space="preserve">to be leading </w:t>
            </w:r>
            <w:r w:rsidR="006D2948" w:rsidRPr="0065384E">
              <w:rPr>
                <w:iCs/>
                <w:sz w:val="21"/>
                <w:szCs w:val="21"/>
              </w:rPr>
              <w:t xml:space="preserve">client work </w:t>
            </w:r>
            <w:r w:rsidR="006D2948">
              <w:rPr>
                <w:iCs/>
                <w:sz w:val="21"/>
                <w:szCs w:val="21"/>
              </w:rPr>
              <w:t xml:space="preserve">and business development activities </w:t>
            </w:r>
            <w:r w:rsidR="006D2948" w:rsidRPr="0065384E">
              <w:rPr>
                <w:iCs/>
                <w:sz w:val="21"/>
                <w:szCs w:val="21"/>
              </w:rPr>
              <w:t>soon after joining, which could include</w:t>
            </w:r>
            <w:r w:rsidR="006D2948">
              <w:rPr>
                <w:iCs/>
                <w:sz w:val="21"/>
                <w:szCs w:val="21"/>
              </w:rPr>
              <w:t>:</w:t>
            </w:r>
          </w:p>
          <w:p w14:paraId="1C1A8362" w14:textId="77777777" w:rsidR="006D2948" w:rsidRDefault="006D2948" w:rsidP="006D2948">
            <w:pPr>
              <w:numPr>
                <w:ilvl w:val="0"/>
                <w:numId w:val="2"/>
              </w:numPr>
              <w:spacing w:after="12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Design and deliver business change, service transition and operational transformation projects on time, quality and budget</w:t>
            </w:r>
          </w:p>
          <w:p w14:paraId="402F0A43" w14:textId="32F971B9" w:rsidR="006D2948" w:rsidRPr="00E60C9F" w:rsidRDefault="00366F28" w:rsidP="006D2948">
            <w:pPr>
              <w:numPr>
                <w:ilvl w:val="0"/>
                <w:numId w:val="2"/>
              </w:numPr>
              <w:spacing w:after="12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Supporting our</w:t>
            </w:r>
            <w:r w:rsidR="006D2948" w:rsidRPr="0065384E">
              <w:rPr>
                <w:iCs/>
                <w:sz w:val="21"/>
                <w:szCs w:val="21"/>
              </w:rPr>
              <w:t xml:space="preserve"> partnerships</w:t>
            </w:r>
            <w:r>
              <w:rPr>
                <w:iCs/>
                <w:sz w:val="21"/>
                <w:szCs w:val="21"/>
              </w:rPr>
              <w:t xml:space="preserve"> and </w:t>
            </w:r>
            <w:r w:rsidR="006D2948">
              <w:rPr>
                <w:iCs/>
                <w:sz w:val="21"/>
                <w:szCs w:val="21"/>
              </w:rPr>
              <w:t>service lines by project or programme managing projects/programmes and overall delivery to the client (the client may be the end client or partnership/service line)</w:t>
            </w:r>
          </w:p>
          <w:p w14:paraId="67A98700" w14:textId="65E4147B" w:rsidR="006D2948" w:rsidRDefault="006D2948" w:rsidP="006D2948">
            <w:pPr>
              <w:numPr>
                <w:ilvl w:val="0"/>
                <w:numId w:val="2"/>
              </w:numPr>
              <w:spacing w:after="120"/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 xml:space="preserve">Supporting </w:t>
            </w:r>
            <w:r w:rsidR="00366F28">
              <w:rPr>
                <w:iCs/>
                <w:sz w:val="21"/>
                <w:szCs w:val="21"/>
              </w:rPr>
              <w:t xml:space="preserve">Unity’s </w:t>
            </w:r>
            <w:r w:rsidRPr="0065384E">
              <w:rPr>
                <w:iCs/>
                <w:sz w:val="21"/>
                <w:szCs w:val="21"/>
              </w:rPr>
              <w:t>business transformation programme</w:t>
            </w:r>
            <w:r>
              <w:rPr>
                <w:iCs/>
                <w:sz w:val="21"/>
                <w:szCs w:val="21"/>
              </w:rPr>
              <w:t>s by leading projects and programmes</w:t>
            </w:r>
          </w:p>
          <w:p w14:paraId="6DAD02F5" w14:textId="77777777" w:rsidR="006D2948" w:rsidRPr="00E60C9F" w:rsidRDefault="006D2948" w:rsidP="006D2948">
            <w:pPr>
              <w:numPr>
                <w:ilvl w:val="0"/>
                <w:numId w:val="2"/>
              </w:numPr>
              <w:spacing w:after="12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Manage client day-to-day relationships and members of any teams to deliver client assignments</w:t>
            </w:r>
          </w:p>
          <w:p w14:paraId="215769CA" w14:textId="77777777" w:rsidR="006D2948" w:rsidRPr="00E60C9F" w:rsidRDefault="006D2948" w:rsidP="006D2948">
            <w:pPr>
              <w:numPr>
                <w:ilvl w:val="0"/>
                <w:numId w:val="2"/>
              </w:numPr>
              <w:spacing w:after="12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Develop</w:t>
            </w:r>
            <w:r w:rsidRPr="0065384E">
              <w:rPr>
                <w:iCs/>
                <w:sz w:val="21"/>
                <w:szCs w:val="21"/>
              </w:rPr>
              <w:t xml:space="preserve"> compelling propositions for new business to existing or new customers</w:t>
            </w:r>
          </w:p>
          <w:p w14:paraId="31823CBB" w14:textId="77777777" w:rsidR="006D2948" w:rsidRDefault="006D2948" w:rsidP="006D2948">
            <w:pPr>
              <w:numPr>
                <w:ilvl w:val="0"/>
                <w:numId w:val="2"/>
              </w:numPr>
              <w:spacing w:after="12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Develop </w:t>
            </w:r>
            <w:r w:rsidRPr="0065384E">
              <w:rPr>
                <w:iCs/>
                <w:sz w:val="21"/>
                <w:szCs w:val="21"/>
              </w:rPr>
              <w:t>profitable business through business development and marketing activities with existing or new customers</w:t>
            </w:r>
          </w:p>
          <w:p w14:paraId="6C609D4F" w14:textId="075B4172" w:rsidR="006D2948" w:rsidRPr="00E60C9F" w:rsidRDefault="006D2948" w:rsidP="006D2948">
            <w:pPr>
              <w:numPr>
                <w:ilvl w:val="0"/>
                <w:numId w:val="2"/>
              </w:numPr>
              <w:spacing w:after="12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Promoting BCS and </w:t>
            </w:r>
            <w:r w:rsidR="00366F28">
              <w:rPr>
                <w:iCs/>
                <w:sz w:val="21"/>
                <w:szCs w:val="21"/>
              </w:rPr>
              <w:t>UPL</w:t>
            </w:r>
            <w:r>
              <w:rPr>
                <w:iCs/>
                <w:sz w:val="21"/>
                <w:szCs w:val="21"/>
              </w:rPr>
              <w:t xml:space="preserve"> to new and existing clients</w:t>
            </w:r>
          </w:p>
          <w:p w14:paraId="517FD590" w14:textId="77777777" w:rsidR="006D2948" w:rsidRPr="00E60C9F" w:rsidRDefault="006D2948" w:rsidP="006D2948">
            <w:pPr>
              <w:numPr>
                <w:ilvl w:val="0"/>
                <w:numId w:val="2"/>
              </w:numPr>
              <w:spacing w:after="120"/>
              <w:rPr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 xml:space="preserve">Delivering </w:t>
            </w:r>
            <w:r>
              <w:rPr>
                <w:iCs/>
                <w:sz w:val="21"/>
                <w:szCs w:val="21"/>
              </w:rPr>
              <w:t xml:space="preserve">on </w:t>
            </w:r>
            <w:r w:rsidRPr="0065384E">
              <w:rPr>
                <w:iCs/>
                <w:sz w:val="21"/>
                <w:szCs w:val="21"/>
              </w:rPr>
              <w:t>utilisation targets</w:t>
            </w:r>
            <w:r>
              <w:rPr>
                <w:iCs/>
                <w:sz w:val="21"/>
                <w:szCs w:val="21"/>
              </w:rPr>
              <w:t xml:space="preserve"> and a</w:t>
            </w:r>
            <w:r w:rsidRPr="0065384E">
              <w:rPr>
                <w:iCs/>
                <w:sz w:val="21"/>
                <w:szCs w:val="21"/>
              </w:rPr>
              <w:t>dhering to Company policies, processes and procedures</w:t>
            </w:r>
          </w:p>
        </w:tc>
      </w:tr>
    </w:tbl>
    <w:p w14:paraId="59EFAF34" w14:textId="77777777" w:rsidR="006D2948" w:rsidRDefault="006D2948" w:rsidP="006D2948">
      <w:pPr>
        <w:outlineLvl w:val="0"/>
        <w:rPr>
          <w:b/>
          <w:sz w:val="22"/>
          <w:szCs w:val="22"/>
        </w:rPr>
      </w:pPr>
    </w:p>
    <w:p w14:paraId="5B214105" w14:textId="77777777" w:rsidR="006D2948" w:rsidRDefault="006D2948" w:rsidP="006D2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PERSON SPECIFICATION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7933"/>
      </w:tblGrid>
      <w:tr w:rsidR="006D2948" w:rsidRPr="00E60C9F" w14:paraId="5D754365" w14:textId="77777777" w:rsidTr="00447739">
        <w:trPr>
          <w:jc w:val="center"/>
        </w:trPr>
        <w:tc>
          <w:tcPr>
            <w:tcW w:w="2147" w:type="dxa"/>
          </w:tcPr>
          <w:p w14:paraId="25C84292" w14:textId="77777777" w:rsidR="006D2948" w:rsidRPr="00E60C9F" w:rsidRDefault="006D2948" w:rsidP="00447739">
            <w:pPr>
              <w:spacing w:before="120" w:after="120"/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Qualifications</w:t>
            </w:r>
          </w:p>
        </w:tc>
        <w:tc>
          <w:tcPr>
            <w:tcW w:w="7933" w:type="dxa"/>
            <w:vAlign w:val="center"/>
          </w:tcPr>
          <w:p w14:paraId="52EA5CAC" w14:textId="77777777" w:rsidR="006D2948" w:rsidRDefault="006D2948" w:rsidP="00447739">
            <w:pPr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Degree</w:t>
            </w:r>
            <w:r w:rsidR="00731EE3">
              <w:rPr>
                <w:iCs/>
                <w:sz w:val="21"/>
                <w:szCs w:val="21"/>
              </w:rPr>
              <w:t xml:space="preserve"> or Management qualification and </w:t>
            </w:r>
            <w:r w:rsidRPr="0065384E">
              <w:rPr>
                <w:iCs/>
                <w:sz w:val="21"/>
                <w:szCs w:val="21"/>
              </w:rPr>
              <w:t xml:space="preserve">equivalent relevant experience. </w:t>
            </w:r>
          </w:p>
          <w:p w14:paraId="7FE8BF86" w14:textId="77777777" w:rsidR="00366F28" w:rsidRDefault="00366F28" w:rsidP="00447739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PRINCE 2</w:t>
            </w:r>
          </w:p>
          <w:p w14:paraId="0EAEA825" w14:textId="708DC800" w:rsidR="00366F28" w:rsidRDefault="00366F28" w:rsidP="00447739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MS</w:t>
            </w:r>
            <w:r w:rsidR="001A56AC">
              <w:rPr>
                <w:iCs/>
                <w:sz w:val="21"/>
                <w:szCs w:val="21"/>
              </w:rPr>
              <w:t xml:space="preserve">P  </w:t>
            </w:r>
            <w:r w:rsidRPr="00366F28">
              <w:rPr>
                <w:b/>
                <w:iCs/>
                <w:sz w:val="21"/>
                <w:szCs w:val="21"/>
              </w:rPr>
              <w:t>and/or</w:t>
            </w:r>
            <w:r w:rsidR="001A56AC">
              <w:rPr>
                <w:iCs/>
                <w:sz w:val="21"/>
                <w:szCs w:val="21"/>
              </w:rPr>
              <w:t xml:space="preserve">  </w:t>
            </w:r>
            <w:r>
              <w:rPr>
                <w:iCs/>
                <w:sz w:val="21"/>
                <w:szCs w:val="21"/>
              </w:rPr>
              <w:t xml:space="preserve">Lean </w:t>
            </w:r>
            <w:r w:rsidR="00FA2A6D">
              <w:rPr>
                <w:iCs/>
                <w:sz w:val="21"/>
                <w:szCs w:val="21"/>
              </w:rPr>
              <w:t>Six Sigma  - Black</w:t>
            </w:r>
            <w:r>
              <w:rPr>
                <w:iCs/>
                <w:sz w:val="21"/>
                <w:szCs w:val="21"/>
              </w:rPr>
              <w:t xml:space="preserve"> Belt</w:t>
            </w:r>
          </w:p>
        </w:tc>
      </w:tr>
      <w:tr w:rsidR="006D2948" w:rsidRPr="00E60C9F" w14:paraId="1352730A" w14:textId="77777777" w:rsidTr="00447739">
        <w:trPr>
          <w:jc w:val="center"/>
        </w:trPr>
        <w:tc>
          <w:tcPr>
            <w:tcW w:w="2147" w:type="dxa"/>
          </w:tcPr>
          <w:p w14:paraId="76A75D1E" w14:textId="65601FC5" w:rsidR="006D2948" w:rsidRPr="00E60C9F" w:rsidRDefault="006D2948" w:rsidP="00447739">
            <w:pPr>
              <w:spacing w:before="120" w:after="120"/>
              <w:rPr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Knowledge / Experience</w:t>
            </w:r>
          </w:p>
        </w:tc>
        <w:tc>
          <w:tcPr>
            <w:tcW w:w="7933" w:type="dxa"/>
          </w:tcPr>
          <w:p w14:paraId="0DAC4987" w14:textId="0B72701B" w:rsidR="006D2948" w:rsidRPr="00E60C9F" w:rsidRDefault="006D2948" w:rsidP="00447739">
            <w:pPr>
              <w:spacing w:before="120" w:after="120"/>
              <w:jc w:val="both"/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You will be a high calibre individual with a track record of delivering results in a similar role with experience of</w:t>
            </w:r>
            <w:r w:rsidR="008E031A">
              <w:rPr>
                <w:iCs/>
                <w:sz w:val="21"/>
                <w:szCs w:val="21"/>
              </w:rPr>
              <w:t xml:space="preserve"> over 3 </w:t>
            </w:r>
            <w:r>
              <w:rPr>
                <w:iCs/>
                <w:sz w:val="21"/>
                <w:szCs w:val="21"/>
              </w:rPr>
              <w:t>years of</w:t>
            </w:r>
            <w:r w:rsidRPr="0065384E">
              <w:rPr>
                <w:iCs/>
                <w:sz w:val="21"/>
                <w:szCs w:val="21"/>
              </w:rPr>
              <w:t>:</w:t>
            </w:r>
          </w:p>
          <w:p w14:paraId="258D7CD0" w14:textId="33FED89C" w:rsidR="006D2948" w:rsidRPr="00E60C9F" w:rsidRDefault="006D2948" w:rsidP="006D2948">
            <w:pPr>
              <w:numPr>
                <w:ilvl w:val="0"/>
                <w:numId w:val="1"/>
              </w:numPr>
              <w:spacing w:after="120"/>
              <w:ind w:left="714" w:hanging="357"/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Delivering ‘quality’ solution</w:t>
            </w:r>
            <w:r w:rsidR="004952B9">
              <w:rPr>
                <w:iCs/>
                <w:sz w:val="21"/>
                <w:szCs w:val="21"/>
              </w:rPr>
              <w:t xml:space="preserve">s that improve </w:t>
            </w:r>
            <w:r w:rsidRPr="0065384E">
              <w:rPr>
                <w:iCs/>
                <w:sz w:val="21"/>
                <w:szCs w:val="21"/>
              </w:rPr>
              <w:t>Services</w:t>
            </w:r>
          </w:p>
          <w:p w14:paraId="3FF9F6F4" w14:textId="77777777" w:rsidR="006D2948" w:rsidRPr="005C2A5C" w:rsidRDefault="006D2948" w:rsidP="006D2948">
            <w:pPr>
              <w:numPr>
                <w:ilvl w:val="0"/>
                <w:numId w:val="1"/>
              </w:numPr>
              <w:spacing w:after="120"/>
              <w:ind w:left="714" w:hanging="357"/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Building relationships across a spe</w:t>
            </w:r>
            <w:r>
              <w:rPr>
                <w:iCs/>
                <w:sz w:val="21"/>
                <w:szCs w:val="21"/>
              </w:rPr>
              <w:t>ctrum of influence, you will be a highly effective net</w:t>
            </w:r>
            <w:r w:rsidRPr="0065384E">
              <w:rPr>
                <w:iCs/>
                <w:sz w:val="21"/>
                <w:szCs w:val="21"/>
              </w:rPr>
              <w:t xml:space="preserve">worker </w:t>
            </w:r>
          </w:p>
          <w:p w14:paraId="7383BBBD" w14:textId="77777777" w:rsidR="006D2948" w:rsidRDefault="006D2948" w:rsidP="00447739">
            <w:pPr>
              <w:spacing w:after="12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You will also be a self-starter combined with the ability to be a</w:t>
            </w:r>
            <w:r w:rsidR="00731EE3">
              <w:rPr>
                <w:iCs/>
                <w:sz w:val="21"/>
                <w:szCs w:val="21"/>
              </w:rPr>
              <w:t xml:space="preserve"> strong team leader</w:t>
            </w:r>
            <w:r w:rsidRPr="0065384E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 xml:space="preserve">–able </w:t>
            </w:r>
            <w:r w:rsidRPr="0065384E">
              <w:rPr>
                <w:iCs/>
                <w:sz w:val="21"/>
                <w:szCs w:val="21"/>
              </w:rPr>
              <w:t xml:space="preserve">to </w:t>
            </w:r>
            <w:r>
              <w:rPr>
                <w:iCs/>
                <w:sz w:val="21"/>
                <w:szCs w:val="21"/>
              </w:rPr>
              <w:t>work with</w:t>
            </w:r>
            <w:r w:rsidR="00731EE3">
              <w:rPr>
                <w:iCs/>
                <w:sz w:val="21"/>
                <w:szCs w:val="21"/>
              </w:rPr>
              <w:t>, lead as required</w:t>
            </w:r>
            <w:r>
              <w:rPr>
                <w:iCs/>
                <w:sz w:val="21"/>
                <w:szCs w:val="21"/>
              </w:rPr>
              <w:t xml:space="preserve"> a </w:t>
            </w:r>
            <w:r w:rsidRPr="0065384E">
              <w:rPr>
                <w:iCs/>
                <w:sz w:val="21"/>
                <w:szCs w:val="21"/>
              </w:rPr>
              <w:t>diverse range of teams and possess excellent communication and presentation skills</w:t>
            </w:r>
            <w:r>
              <w:rPr>
                <w:iCs/>
                <w:sz w:val="21"/>
                <w:szCs w:val="21"/>
              </w:rPr>
              <w:t>.</w:t>
            </w:r>
          </w:p>
          <w:p w14:paraId="1FC63E58" w14:textId="77777777" w:rsidR="006D2948" w:rsidRDefault="006D2948" w:rsidP="00447739">
            <w:pPr>
              <w:spacing w:after="120"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You will have an engaging personality coupled with high levels of energy and enthusiasm and have the ability to deal and respond positively to frequently changing priorities and demanding deadlines</w:t>
            </w:r>
          </w:p>
        </w:tc>
      </w:tr>
      <w:tr w:rsidR="006D2948" w:rsidRPr="00E60C9F" w14:paraId="727FE51F" w14:textId="77777777" w:rsidTr="00447739">
        <w:trPr>
          <w:jc w:val="center"/>
        </w:trPr>
        <w:tc>
          <w:tcPr>
            <w:tcW w:w="2147" w:type="dxa"/>
          </w:tcPr>
          <w:p w14:paraId="5D13FB88" w14:textId="77777777" w:rsidR="006D2948" w:rsidRPr="00E60C9F" w:rsidRDefault="006D2948" w:rsidP="00447739">
            <w:pPr>
              <w:tabs>
                <w:tab w:val="left" w:pos="317"/>
                <w:tab w:val="left" w:pos="567"/>
                <w:tab w:val="left" w:pos="884"/>
                <w:tab w:val="left" w:pos="1134"/>
                <w:tab w:val="left" w:pos="1451"/>
                <w:tab w:val="left" w:pos="1701"/>
              </w:tabs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Technical / Business Skills / Ability</w:t>
            </w:r>
          </w:p>
        </w:tc>
        <w:tc>
          <w:tcPr>
            <w:tcW w:w="7933" w:type="dxa"/>
          </w:tcPr>
          <w:p w14:paraId="62A57362" w14:textId="77777777" w:rsidR="006D2948" w:rsidRPr="0045665C" w:rsidRDefault="006D2948" w:rsidP="00447739">
            <w:p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You will be able to provide evidence of significant experience in two, or more, of the following areas:</w:t>
            </w:r>
          </w:p>
          <w:p w14:paraId="004874C9" w14:textId="77777777" w:rsidR="006D2948" w:rsidRPr="008C5DBB" w:rsidRDefault="006D2948" w:rsidP="006D2948">
            <w:pPr>
              <w:pStyle w:val="ListParagraph"/>
              <w:numPr>
                <w:ilvl w:val="0"/>
                <w:numId w:val="5"/>
              </w:numPr>
              <w:rPr>
                <w:iCs/>
                <w:sz w:val="21"/>
                <w:szCs w:val="21"/>
              </w:rPr>
            </w:pPr>
            <w:r w:rsidRPr="008C5DBB">
              <w:rPr>
                <w:iCs/>
                <w:sz w:val="21"/>
                <w:szCs w:val="21"/>
              </w:rPr>
              <w:t>Performance Improvement (through Lean/Six Sigma)</w:t>
            </w:r>
          </w:p>
          <w:p w14:paraId="76B4F1FF" w14:textId="77777777" w:rsidR="006D2948" w:rsidRPr="008C5DBB" w:rsidRDefault="006D2948" w:rsidP="006D2948">
            <w:pPr>
              <w:pStyle w:val="ListParagraph"/>
              <w:numPr>
                <w:ilvl w:val="0"/>
                <w:numId w:val="5"/>
              </w:numPr>
              <w:rPr>
                <w:iCs/>
                <w:sz w:val="21"/>
                <w:szCs w:val="21"/>
              </w:rPr>
            </w:pPr>
            <w:r w:rsidRPr="008C5DBB">
              <w:rPr>
                <w:iCs/>
                <w:sz w:val="21"/>
                <w:szCs w:val="21"/>
              </w:rPr>
              <w:t>Change management</w:t>
            </w:r>
          </w:p>
          <w:p w14:paraId="16B4BF93" w14:textId="77777777" w:rsidR="006D2948" w:rsidRPr="008C5DBB" w:rsidRDefault="006D2948" w:rsidP="006D2948">
            <w:pPr>
              <w:pStyle w:val="ListParagraph"/>
              <w:numPr>
                <w:ilvl w:val="0"/>
                <w:numId w:val="5"/>
              </w:numPr>
              <w:rPr>
                <w:iCs/>
                <w:sz w:val="21"/>
                <w:szCs w:val="21"/>
              </w:rPr>
            </w:pPr>
            <w:r w:rsidRPr="008C5DBB">
              <w:rPr>
                <w:iCs/>
                <w:sz w:val="21"/>
                <w:szCs w:val="21"/>
              </w:rPr>
              <w:t>Service transition</w:t>
            </w:r>
          </w:p>
          <w:p w14:paraId="2F261689" w14:textId="77777777" w:rsidR="006D2948" w:rsidRPr="008C5DBB" w:rsidRDefault="006D2948" w:rsidP="006D2948">
            <w:pPr>
              <w:pStyle w:val="ListParagraph"/>
              <w:numPr>
                <w:ilvl w:val="0"/>
                <w:numId w:val="5"/>
              </w:numPr>
              <w:rPr>
                <w:iCs/>
                <w:sz w:val="21"/>
                <w:szCs w:val="21"/>
              </w:rPr>
            </w:pPr>
            <w:r w:rsidRPr="008C5DBB">
              <w:rPr>
                <w:iCs/>
                <w:sz w:val="21"/>
                <w:szCs w:val="21"/>
              </w:rPr>
              <w:t>Transformational change</w:t>
            </w:r>
          </w:p>
          <w:p w14:paraId="633B5F15" w14:textId="77777777" w:rsidR="006D2948" w:rsidRPr="008C5DBB" w:rsidRDefault="006D2948" w:rsidP="006D2948">
            <w:pPr>
              <w:numPr>
                <w:ilvl w:val="0"/>
                <w:numId w:val="1"/>
              </w:numPr>
              <w:spacing w:after="120"/>
              <w:ind w:left="714" w:hanging="357"/>
              <w:rPr>
                <w:sz w:val="21"/>
                <w:szCs w:val="21"/>
              </w:rPr>
            </w:pPr>
            <w:r w:rsidRPr="008C5DBB">
              <w:rPr>
                <w:sz w:val="21"/>
                <w:szCs w:val="21"/>
              </w:rPr>
              <w:t>Project/programme management</w:t>
            </w:r>
          </w:p>
          <w:p w14:paraId="77BB963F" w14:textId="77777777" w:rsidR="006D2948" w:rsidRPr="00E60C9F" w:rsidRDefault="006D2948" w:rsidP="00447739">
            <w:pPr>
              <w:spacing w:before="120" w:after="120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Evidence of successful delivery of projects of more than five significant contracts in the Public</w:t>
            </w:r>
            <w:r w:rsidR="00731EE3">
              <w:rPr>
                <w:iCs/>
                <w:sz w:val="21"/>
                <w:szCs w:val="21"/>
              </w:rPr>
              <w:t xml:space="preserve"> and/or Private</w:t>
            </w:r>
            <w:r>
              <w:rPr>
                <w:iCs/>
                <w:sz w:val="21"/>
                <w:szCs w:val="21"/>
              </w:rPr>
              <w:t xml:space="preserve"> Sector</w:t>
            </w:r>
          </w:p>
        </w:tc>
      </w:tr>
    </w:tbl>
    <w:p w14:paraId="2F85C861" w14:textId="77777777" w:rsidR="006D2948" w:rsidRPr="00E60C9F" w:rsidRDefault="006D2948" w:rsidP="006D2948">
      <w:pPr>
        <w:rPr>
          <w:sz w:val="21"/>
          <w:szCs w:val="21"/>
        </w:rPr>
      </w:pPr>
    </w:p>
    <w:p w14:paraId="3A64FD4B" w14:textId="77777777" w:rsidR="006D2948" w:rsidRDefault="006D2948" w:rsidP="006D2948">
      <w:pPr>
        <w:outlineLvl w:val="0"/>
        <w:rPr>
          <w:b/>
          <w:sz w:val="21"/>
          <w:szCs w:val="21"/>
        </w:rPr>
      </w:pPr>
    </w:p>
    <w:p w14:paraId="4F55E7BC" w14:textId="77777777" w:rsidR="006D2948" w:rsidRPr="00E60C9F" w:rsidRDefault="006D2948" w:rsidP="006D2948">
      <w:pPr>
        <w:outlineLvl w:val="0"/>
        <w:rPr>
          <w:b/>
          <w:sz w:val="21"/>
          <w:szCs w:val="21"/>
        </w:rPr>
      </w:pPr>
      <w:r w:rsidRPr="0065384E">
        <w:rPr>
          <w:b/>
          <w:sz w:val="21"/>
          <w:szCs w:val="21"/>
        </w:rPr>
        <w:t>CORE BEHAVIOURS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D2948" w:rsidRPr="00E60C9F" w14:paraId="2D82465F" w14:textId="77777777" w:rsidTr="00447739">
        <w:trPr>
          <w:trHeight w:val="2393"/>
          <w:jc w:val="center"/>
        </w:trPr>
        <w:tc>
          <w:tcPr>
            <w:tcW w:w="10080" w:type="dxa"/>
          </w:tcPr>
          <w:p w14:paraId="33578F56" w14:textId="77777777" w:rsidR="00641669" w:rsidRPr="00641669" w:rsidRDefault="00641669" w:rsidP="00641669">
            <w:pPr>
              <w:numPr>
                <w:ilvl w:val="0"/>
                <w:numId w:val="1"/>
              </w:numPr>
              <w:tabs>
                <w:tab w:val="left" w:pos="317"/>
                <w:tab w:val="left" w:pos="360"/>
                <w:tab w:val="left" w:pos="884"/>
                <w:tab w:val="left" w:pos="1134"/>
                <w:tab w:val="left" w:pos="1451"/>
                <w:tab w:val="left" w:pos="1701"/>
              </w:tabs>
              <w:spacing w:line="360" w:lineRule="auto"/>
              <w:rPr>
                <w:iCs/>
                <w:sz w:val="21"/>
                <w:szCs w:val="21"/>
              </w:rPr>
            </w:pPr>
            <w:r w:rsidRPr="00641669">
              <w:rPr>
                <w:b/>
                <w:iCs/>
                <w:sz w:val="21"/>
                <w:szCs w:val="21"/>
              </w:rPr>
              <w:t>Passionate</w:t>
            </w:r>
            <w:r w:rsidRPr="00641669">
              <w:rPr>
                <w:iCs/>
                <w:sz w:val="21"/>
                <w:szCs w:val="21"/>
              </w:rPr>
              <w:t xml:space="preserve"> – We care about the work we do and we strive to do our best every day with energy and enthusiasm.</w:t>
            </w:r>
          </w:p>
          <w:p w14:paraId="4122AE48" w14:textId="77777777" w:rsidR="00641669" w:rsidRPr="00641669" w:rsidRDefault="00641669" w:rsidP="00641669">
            <w:pPr>
              <w:numPr>
                <w:ilvl w:val="0"/>
                <w:numId w:val="1"/>
              </w:numPr>
              <w:tabs>
                <w:tab w:val="left" w:pos="317"/>
                <w:tab w:val="left" w:pos="360"/>
                <w:tab w:val="left" w:pos="884"/>
                <w:tab w:val="left" w:pos="1134"/>
                <w:tab w:val="left" w:pos="1451"/>
                <w:tab w:val="left" w:pos="1701"/>
              </w:tabs>
              <w:spacing w:line="360" w:lineRule="auto"/>
              <w:rPr>
                <w:iCs/>
                <w:sz w:val="21"/>
                <w:szCs w:val="21"/>
              </w:rPr>
            </w:pPr>
            <w:r w:rsidRPr="00641669">
              <w:rPr>
                <w:b/>
                <w:iCs/>
                <w:sz w:val="21"/>
                <w:szCs w:val="21"/>
              </w:rPr>
              <w:t>Professional</w:t>
            </w:r>
            <w:r w:rsidRPr="00641669">
              <w:rPr>
                <w:iCs/>
                <w:sz w:val="21"/>
                <w:szCs w:val="21"/>
              </w:rPr>
              <w:t xml:space="preserve"> – We are responsive, courteous and respectful and aim always to deliver to the highest standards that we can take pride in.</w:t>
            </w:r>
          </w:p>
          <w:p w14:paraId="6A84EA67" w14:textId="77777777" w:rsidR="00641669" w:rsidRPr="00641669" w:rsidRDefault="00641669" w:rsidP="00641669">
            <w:pPr>
              <w:numPr>
                <w:ilvl w:val="0"/>
                <w:numId w:val="1"/>
              </w:numPr>
              <w:tabs>
                <w:tab w:val="left" w:pos="317"/>
                <w:tab w:val="left" w:pos="360"/>
                <w:tab w:val="left" w:pos="884"/>
                <w:tab w:val="left" w:pos="1134"/>
                <w:tab w:val="left" w:pos="1451"/>
                <w:tab w:val="left" w:pos="1701"/>
              </w:tabs>
              <w:spacing w:line="360" w:lineRule="auto"/>
              <w:rPr>
                <w:iCs/>
                <w:sz w:val="21"/>
                <w:szCs w:val="21"/>
              </w:rPr>
            </w:pPr>
            <w:r w:rsidRPr="00641669">
              <w:rPr>
                <w:b/>
                <w:iCs/>
                <w:sz w:val="21"/>
                <w:szCs w:val="21"/>
              </w:rPr>
              <w:t xml:space="preserve">Collaborative </w:t>
            </w:r>
            <w:r w:rsidRPr="00641669">
              <w:rPr>
                <w:iCs/>
                <w:sz w:val="21"/>
                <w:szCs w:val="21"/>
              </w:rPr>
              <w:t>– We listen and learn from each other, we take ownership and responsibility together to achieve our goals, face challenges, and learn from our experiences together, with a no blame culture.</w:t>
            </w:r>
          </w:p>
          <w:p w14:paraId="082160FD" w14:textId="77777777" w:rsidR="00641669" w:rsidRPr="00641669" w:rsidRDefault="00641669" w:rsidP="00641669">
            <w:pPr>
              <w:numPr>
                <w:ilvl w:val="0"/>
                <w:numId w:val="1"/>
              </w:numPr>
              <w:tabs>
                <w:tab w:val="left" w:pos="317"/>
                <w:tab w:val="left" w:pos="360"/>
                <w:tab w:val="left" w:pos="884"/>
                <w:tab w:val="left" w:pos="1134"/>
                <w:tab w:val="left" w:pos="1451"/>
                <w:tab w:val="left" w:pos="1701"/>
              </w:tabs>
              <w:spacing w:line="360" w:lineRule="auto"/>
              <w:rPr>
                <w:iCs/>
                <w:sz w:val="21"/>
                <w:szCs w:val="21"/>
              </w:rPr>
            </w:pPr>
            <w:r w:rsidRPr="00641669">
              <w:rPr>
                <w:b/>
                <w:iCs/>
                <w:sz w:val="21"/>
                <w:szCs w:val="21"/>
              </w:rPr>
              <w:t xml:space="preserve">Honest </w:t>
            </w:r>
            <w:r w:rsidRPr="00641669">
              <w:rPr>
                <w:iCs/>
                <w:sz w:val="21"/>
                <w:szCs w:val="21"/>
              </w:rPr>
              <w:t>– We build trust and confidence by being honest, open and respectful with others and by keeping our promises.</w:t>
            </w:r>
          </w:p>
          <w:p w14:paraId="174A629F" w14:textId="03928F26" w:rsidR="00641669" w:rsidRDefault="00641669" w:rsidP="00641669">
            <w:pPr>
              <w:numPr>
                <w:ilvl w:val="0"/>
                <w:numId w:val="1"/>
              </w:numPr>
              <w:tabs>
                <w:tab w:val="left" w:pos="317"/>
                <w:tab w:val="left" w:pos="360"/>
                <w:tab w:val="left" w:pos="884"/>
                <w:tab w:val="left" w:pos="1134"/>
                <w:tab w:val="left" w:pos="1451"/>
                <w:tab w:val="left" w:pos="1701"/>
              </w:tabs>
              <w:spacing w:line="360" w:lineRule="auto"/>
              <w:rPr>
                <w:iCs/>
                <w:sz w:val="21"/>
                <w:szCs w:val="21"/>
              </w:rPr>
            </w:pPr>
            <w:r w:rsidRPr="00641669">
              <w:rPr>
                <w:b/>
                <w:iCs/>
                <w:sz w:val="21"/>
                <w:szCs w:val="21"/>
              </w:rPr>
              <w:t>Outcome focussed</w:t>
            </w:r>
            <w:r w:rsidRPr="00641669">
              <w:rPr>
                <w:iCs/>
                <w:sz w:val="21"/>
                <w:szCs w:val="21"/>
              </w:rPr>
              <w:t xml:space="preserve"> – We ensure that we deliver excellence by focussing on the needs of our customers and work actively to overcome barriers and to be efficient and effective.</w:t>
            </w:r>
          </w:p>
          <w:p w14:paraId="08AB44FD" w14:textId="05A69B86" w:rsidR="006D2948" w:rsidRPr="00E60C9F" w:rsidRDefault="006D2948" w:rsidP="00447739">
            <w:pPr>
              <w:tabs>
                <w:tab w:val="left" w:pos="317"/>
                <w:tab w:val="left" w:pos="360"/>
                <w:tab w:val="left" w:pos="884"/>
                <w:tab w:val="left" w:pos="1134"/>
                <w:tab w:val="left" w:pos="1451"/>
                <w:tab w:val="left" w:pos="1701"/>
              </w:tabs>
              <w:spacing w:line="360" w:lineRule="auto"/>
              <w:rPr>
                <w:iCs/>
                <w:sz w:val="21"/>
                <w:szCs w:val="21"/>
              </w:rPr>
            </w:pPr>
          </w:p>
        </w:tc>
      </w:tr>
    </w:tbl>
    <w:p w14:paraId="79D287A5" w14:textId="77777777" w:rsidR="006D2948" w:rsidRPr="00E60C9F" w:rsidRDefault="006D2948" w:rsidP="006D2948">
      <w:pPr>
        <w:rPr>
          <w:sz w:val="21"/>
          <w:szCs w:val="21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7033"/>
      </w:tblGrid>
      <w:tr w:rsidR="006D2948" w:rsidRPr="00E60C9F" w14:paraId="0E01AA06" w14:textId="77777777" w:rsidTr="00447739">
        <w:trPr>
          <w:jc w:val="center"/>
        </w:trPr>
        <w:tc>
          <w:tcPr>
            <w:tcW w:w="3047" w:type="dxa"/>
          </w:tcPr>
          <w:p w14:paraId="1CAABCAE" w14:textId="77777777" w:rsidR="006D2948" w:rsidRPr="00E60C9F" w:rsidRDefault="006D2948" w:rsidP="00447739">
            <w:pPr>
              <w:spacing w:before="120" w:after="120"/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Grade</w:t>
            </w:r>
          </w:p>
        </w:tc>
        <w:tc>
          <w:tcPr>
            <w:tcW w:w="7033" w:type="dxa"/>
          </w:tcPr>
          <w:p w14:paraId="5D151CE0" w14:textId="341DCF83" w:rsidR="006D2948" w:rsidRPr="00E60C9F" w:rsidRDefault="00FA2A6D" w:rsidP="00447739">
            <w:pPr>
              <w:spacing w:before="120" w:after="12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Senior Consultant</w:t>
            </w:r>
          </w:p>
        </w:tc>
      </w:tr>
      <w:tr w:rsidR="006D2948" w:rsidRPr="00E60C9F" w14:paraId="4C7FCA91" w14:textId="77777777" w:rsidTr="00447739">
        <w:trPr>
          <w:jc w:val="center"/>
        </w:trPr>
        <w:tc>
          <w:tcPr>
            <w:tcW w:w="3047" w:type="dxa"/>
          </w:tcPr>
          <w:p w14:paraId="70E46A30" w14:textId="77777777" w:rsidR="006D2948" w:rsidRPr="00E60C9F" w:rsidRDefault="006D2948" w:rsidP="00447739">
            <w:pPr>
              <w:spacing w:before="120" w:after="120"/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Salary Range</w:t>
            </w:r>
          </w:p>
        </w:tc>
        <w:tc>
          <w:tcPr>
            <w:tcW w:w="7033" w:type="dxa"/>
          </w:tcPr>
          <w:p w14:paraId="05CAB49E" w14:textId="32F13D24" w:rsidR="006D2948" w:rsidRPr="00E60C9F" w:rsidRDefault="00E33CF2" w:rsidP="00447739">
            <w:pPr>
              <w:spacing w:before="120" w:after="12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£45 – 60k </w:t>
            </w:r>
            <w:r w:rsidR="006D2948">
              <w:rPr>
                <w:iCs/>
                <w:sz w:val="21"/>
                <w:szCs w:val="21"/>
              </w:rPr>
              <w:t>D</w:t>
            </w:r>
            <w:r w:rsidR="006D2948" w:rsidRPr="0065384E">
              <w:rPr>
                <w:iCs/>
                <w:sz w:val="21"/>
                <w:szCs w:val="21"/>
              </w:rPr>
              <w:t>epending on skills and experience</w:t>
            </w:r>
          </w:p>
        </w:tc>
      </w:tr>
      <w:tr w:rsidR="006D2948" w:rsidRPr="00E60C9F" w14:paraId="65C2E362" w14:textId="77777777" w:rsidTr="00447739">
        <w:trPr>
          <w:jc w:val="center"/>
        </w:trPr>
        <w:tc>
          <w:tcPr>
            <w:tcW w:w="3047" w:type="dxa"/>
            <w:vAlign w:val="center"/>
          </w:tcPr>
          <w:p w14:paraId="5D8B0D37" w14:textId="77777777" w:rsidR="006D2948" w:rsidRPr="00E60C9F" w:rsidRDefault="006D2948" w:rsidP="00447739">
            <w:pPr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>Contract Type</w:t>
            </w:r>
          </w:p>
        </w:tc>
        <w:tc>
          <w:tcPr>
            <w:tcW w:w="7033" w:type="dxa"/>
          </w:tcPr>
          <w:p w14:paraId="3A86F071" w14:textId="77777777" w:rsidR="006D2948" w:rsidRPr="00E60C9F" w:rsidRDefault="006D2948" w:rsidP="00447739">
            <w:pPr>
              <w:spacing w:before="120" w:after="120"/>
              <w:rPr>
                <w:iCs/>
                <w:sz w:val="21"/>
                <w:szCs w:val="21"/>
              </w:rPr>
            </w:pPr>
            <w:r w:rsidRPr="0065384E">
              <w:rPr>
                <w:iCs/>
                <w:sz w:val="21"/>
                <w:szCs w:val="21"/>
              </w:rPr>
              <w:t xml:space="preserve">Permanent </w:t>
            </w:r>
          </w:p>
        </w:tc>
      </w:tr>
    </w:tbl>
    <w:p w14:paraId="009A199F" w14:textId="77777777" w:rsidR="006D2948" w:rsidRDefault="006D2948" w:rsidP="006D2948">
      <w:pPr>
        <w:rPr>
          <w:sz w:val="22"/>
          <w:szCs w:val="22"/>
        </w:rPr>
      </w:pPr>
    </w:p>
    <w:p w14:paraId="32D59545" w14:textId="77777777" w:rsidR="006A7838" w:rsidRDefault="006A7838"/>
    <w:sectPr w:rsidR="006A7838" w:rsidSect="00447739">
      <w:headerReference w:type="default" r:id="rId8"/>
      <w:footerReference w:type="default" r:id="rId9"/>
      <w:pgSz w:w="11906" w:h="16838"/>
      <w:pgMar w:top="1440" w:right="1008" w:bottom="1135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7CD0" w14:textId="77777777" w:rsidR="00394DD9" w:rsidRDefault="00394DD9" w:rsidP="006D2948">
      <w:r>
        <w:separator/>
      </w:r>
    </w:p>
  </w:endnote>
  <w:endnote w:type="continuationSeparator" w:id="0">
    <w:p w14:paraId="7B727036" w14:textId="77777777" w:rsidR="00394DD9" w:rsidRDefault="00394DD9" w:rsidP="006D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5B1E6" w14:textId="77777777" w:rsidR="00447739" w:rsidRDefault="0044773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2B285" w14:textId="77777777" w:rsidR="00394DD9" w:rsidRDefault="00394DD9" w:rsidP="006D2948">
      <w:r>
        <w:separator/>
      </w:r>
    </w:p>
  </w:footnote>
  <w:footnote w:type="continuationSeparator" w:id="0">
    <w:p w14:paraId="0375F4B8" w14:textId="77777777" w:rsidR="00394DD9" w:rsidRDefault="00394DD9" w:rsidP="006D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A9872" w14:textId="77777777" w:rsidR="00447739" w:rsidRDefault="00447739" w:rsidP="004477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64E"/>
    <w:multiLevelType w:val="hybridMultilevel"/>
    <w:tmpl w:val="17BCD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D5DC8"/>
    <w:multiLevelType w:val="hybridMultilevel"/>
    <w:tmpl w:val="F1EC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E2081"/>
    <w:multiLevelType w:val="hybridMultilevel"/>
    <w:tmpl w:val="3E8AB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0C62B0"/>
    <w:multiLevelType w:val="hybridMultilevel"/>
    <w:tmpl w:val="65AC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7696E"/>
    <w:multiLevelType w:val="hybridMultilevel"/>
    <w:tmpl w:val="42F87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D3C1E"/>
    <w:multiLevelType w:val="hybridMultilevel"/>
    <w:tmpl w:val="39CE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8"/>
    <w:rsid w:val="000635B0"/>
    <w:rsid w:val="001A56AC"/>
    <w:rsid w:val="00366F28"/>
    <w:rsid w:val="00394DD9"/>
    <w:rsid w:val="00447739"/>
    <w:rsid w:val="004952B9"/>
    <w:rsid w:val="00641669"/>
    <w:rsid w:val="006A7838"/>
    <w:rsid w:val="006D2948"/>
    <w:rsid w:val="00731EE3"/>
    <w:rsid w:val="008E031A"/>
    <w:rsid w:val="009A5EE3"/>
    <w:rsid w:val="00DC4026"/>
    <w:rsid w:val="00E33CF2"/>
    <w:rsid w:val="00F32DC4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A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4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29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948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D29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948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2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2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4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29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948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D29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948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2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2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Limited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Charlesworth</dc:creator>
  <cp:lastModifiedBy>Emma Mullin</cp:lastModifiedBy>
  <cp:revision>2</cp:revision>
  <dcterms:created xsi:type="dcterms:W3CDTF">2018-12-04T14:30:00Z</dcterms:created>
  <dcterms:modified xsi:type="dcterms:W3CDTF">2018-12-04T14:30:00Z</dcterms:modified>
</cp:coreProperties>
</file>