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
        <w:gridCol w:w="1600"/>
        <w:gridCol w:w="3441"/>
        <w:gridCol w:w="1675"/>
        <w:gridCol w:w="791"/>
        <w:gridCol w:w="425"/>
        <w:gridCol w:w="1937"/>
        <w:gridCol w:w="893"/>
        <w:gridCol w:w="284"/>
        <w:gridCol w:w="674"/>
        <w:gridCol w:w="4010"/>
        <w:gridCol w:w="78"/>
      </w:tblGrid>
      <w:tr w:rsidR="005D4257" w:rsidRPr="00CC473C" w:rsidTr="00BC3621">
        <w:trPr>
          <w:cantSplit/>
          <w:trHeight w:val="442"/>
        </w:trPr>
        <w:sdt>
          <w:sdtPr>
            <w:rPr>
              <w:rFonts w:ascii="Arial" w:hAnsi="Arial"/>
              <w:b/>
              <w:color w:val="FFFFFF" w:themeColor="background1"/>
              <w:sz w:val="36"/>
              <w:szCs w:val="24"/>
            </w:rPr>
            <w:id w:val="4512579"/>
            <w:placeholder>
              <w:docPart w:val="DefaultPlaceholder_22675703"/>
            </w:placeholder>
            <w:text/>
          </w:sdtPr>
          <w:sdtContent>
            <w:tc>
              <w:tcPr>
                <w:tcW w:w="15921" w:type="dxa"/>
                <w:gridSpan w:val="12"/>
                <w:shd w:val="clear" w:color="auto" w:fill="E6007E"/>
              </w:tcPr>
              <w:p w:rsidR="005D4257" w:rsidRPr="00712438" w:rsidRDefault="00D76056" w:rsidP="00D76056">
                <w:pPr>
                  <w:jc w:val="center"/>
                  <w:rPr>
                    <w:rFonts w:ascii="Arial" w:hAnsi="Arial"/>
                    <w:b/>
                    <w:color w:val="FFFFFF" w:themeColor="background1"/>
                    <w:sz w:val="36"/>
                    <w:szCs w:val="24"/>
                  </w:rPr>
                </w:pPr>
                <w:r>
                  <w:rPr>
                    <w:rFonts w:ascii="Arial" w:hAnsi="Arial"/>
                    <w:b/>
                    <w:color w:val="FFFFFF" w:themeColor="background1"/>
                    <w:sz w:val="36"/>
                    <w:szCs w:val="24"/>
                  </w:rPr>
                  <w:t xml:space="preserve">Principal Planner – Planning Obligations </w:t>
                </w:r>
              </w:p>
            </w:tc>
          </w:sdtContent>
        </w:sdt>
      </w:tr>
      <w:tr w:rsidR="00AC6D60" w:rsidRPr="00CC473C" w:rsidTr="007071CD">
        <w:tc>
          <w:tcPr>
            <w:tcW w:w="15921" w:type="dxa"/>
            <w:gridSpan w:val="12"/>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sdt>
          <w:sdtPr>
            <w:rPr>
              <w:rFonts w:ascii="Arial" w:hAnsi="Arial"/>
            </w:rPr>
            <w:id w:val="4512583"/>
            <w:placeholder>
              <w:docPart w:val="DefaultPlaceholder_22675703"/>
            </w:placeholder>
            <w:text/>
          </w:sdtPr>
          <w:sdtContent>
            <w:tc>
              <w:tcPr>
                <w:tcW w:w="3441" w:type="dxa"/>
              </w:tcPr>
              <w:p w:rsidR="008E36F7" w:rsidRPr="00CC473C" w:rsidRDefault="0016366D" w:rsidP="0016366D">
                <w:pPr>
                  <w:rPr>
                    <w:rFonts w:ascii="Arial" w:hAnsi="Arial"/>
                  </w:rPr>
                </w:pPr>
                <w:r>
                  <w:rPr>
                    <w:rFonts w:ascii="Arial" w:hAnsi="Arial"/>
                  </w:rPr>
                  <w:t>Planning and Housing within Place Directorate</w:t>
                </w:r>
              </w:p>
            </w:tc>
          </w:sdtContent>
        </w:sdt>
        <w:tc>
          <w:tcPr>
            <w:tcW w:w="1675" w:type="dxa"/>
          </w:tcPr>
          <w:p w:rsidR="008E36F7" w:rsidRPr="00CC473C" w:rsidRDefault="008E36F7" w:rsidP="00B44F4F">
            <w:pPr>
              <w:rPr>
                <w:rFonts w:ascii="Arial" w:hAnsi="Arial"/>
                <w:b/>
              </w:rPr>
            </w:pPr>
            <w:r w:rsidRPr="00CC473C">
              <w:rPr>
                <w:rFonts w:ascii="Arial" w:hAnsi="Arial"/>
                <w:b/>
              </w:rPr>
              <w:t>Grade:</w:t>
            </w:r>
          </w:p>
        </w:tc>
        <w:sdt>
          <w:sdtPr>
            <w:rPr>
              <w:rFonts w:ascii="Arial" w:hAnsi="Arial"/>
            </w:rPr>
            <w:id w:val="4512585"/>
            <w:placeholder>
              <w:docPart w:val="DefaultPlaceholder_22675703"/>
            </w:placeholder>
            <w:text/>
          </w:sdtPr>
          <w:sdtContent>
            <w:tc>
              <w:tcPr>
                <w:tcW w:w="3153" w:type="dxa"/>
                <w:gridSpan w:val="3"/>
              </w:tcPr>
              <w:p w:rsidR="008E36F7" w:rsidRPr="00CC473C" w:rsidRDefault="00D76056" w:rsidP="00D76056">
                <w:pPr>
                  <w:rPr>
                    <w:rFonts w:ascii="Arial" w:hAnsi="Arial"/>
                  </w:rPr>
                </w:pPr>
                <w:r>
                  <w:rPr>
                    <w:rFonts w:ascii="Arial" w:hAnsi="Arial"/>
                  </w:rPr>
                  <w:t>4C</w:t>
                </w:r>
              </w:p>
            </w:tc>
          </w:sdtContent>
        </w:sdt>
        <w:tc>
          <w:tcPr>
            <w:tcW w:w="1851" w:type="dxa"/>
            <w:gridSpan w:val="3"/>
          </w:tcPr>
          <w:p w:rsidR="008E36F7" w:rsidRPr="00CC473C" w:rsidRDefault="008E36F7" w:rsidP="00B44F4F">
            <w:pPr>
              <w:rPr>
                <w:rFonts w:ascii="Arial" w:hAnsi="Arial"/>
                <w:b/>
              </w:rPr>
            </w:pPr>
            <w:r w:rsidRPr="00CC473C">
              <w:rPr>
                <w:rFonts w:ascii="Arial" w:hAnsi="Arial"/>
                <w:b/>
              </w:rPr>
              <w:t>Salary:</w:t>
            </w:r>
          </w:p>
        </w:tc>
        <w:sdt>
          <w:sdtPr>
            <w:rPr>
              <w:rFonts w:ascii="Arial" w:hAnsi="Arial"/>
            </w:rPr>
            <w:id w:val="4512587"/>
            <w:placeholder>
              <w:docPart w:val="DefaultPlaceholder_22675703"/>
            </w:placeholder>
            <w:text/>
          </w:sdtPr>
          <w:sdtContent>
            <w:tc>
              <w:tcPr>
                <w:tcW w:w="4088" w:type="dxa"/>
                <w:gridSpan w:val="2"/>
              </w:tcPr>
              <w:p w:rsidR="008E36F7" w:rsidRPr="00CC473C" w:rsidRDefault="00182A7A" w:rsidP="00182A7A">
                <w:pPr>
                  <w:rPr>
                    <w:rFonts w:ascii="Arial" w:hAnsi="Arial"/>
                  </w:rPr>
                </w:pPr>
                <w:r>
                  <w:rPr>
                    <w:rFonts w:ascii="Arial" w:hAnsi="Arial"/>
                  </w:rPr>
                  <w:t>£38,813 - £41,675</w:t>
                </w:r>
              </w:p>
            </w:tc>
          </w:sdtContent>
        </w:sdt>
      </w:tr>
      <w:tr w:rsidR="008E36F7" w:rsidRPr="00CC473C" w:rsidTr="00537D45">
        <w:trPr>
          <w:cantSplit/>
          <w:trHeight w:hRule="exact" w:val="577"/>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512584"/>
            <w:placeholder>
              <w:docPart w:val="DefaultPlaceholder_22675703"/>
            </w:placeholder>
            <w:text/>
          </w:sdtPr>
          <w:sdtContent>
            <w:tc>
              <w:tcPr>
                <w:tcW w:w="3441" w:type="dxa"/>
              </w:tcPr>
              <w:p w:rsidR="008E36F7" w:rsidRPr="00CC473C" w:rsidRDefault="00182A7A" w:rsidP="00182A7A">
                <w:pPr>
                  <w:rPr>
                    <w:rFonts w:ascii="Arial" w:hAnsi="Arial"/>
                  </w:rPr>
                </w:pPr>
                <w:r>
                  <w:rPr>
                    <w:rFonts w:ascii="Arial" w:hAnsi="Arial"/>
                  </w:rPr>
                  <w:t>Group Leader Environment &amp; Climate Change</w:t>
                </w:r>
              </w:p>
            </w:tc>
          </w:sdtContent>
        </w:sdt>
        <w:tc>
          <w:tcPr>
            <w:tcW w:w="1675" w:type="dxa"/>
          </w:tcPr>
          <w:p w:rsidR="008E36F7" w:rsidRPr="00CC473C" w:rsidRDefault="008E36F7" w:rsidP="00B44F4F">
            <w:pPr>
              <w:rPr>
                <w:rFonts w:ascii="Arial" w:hAnsi="Arial"/>
                <w:b/>
              </w:rPr>
            </w:pPr>
            <w:r w:rsidRPr="00CC473C">
              <w:rPr>
                <w:rFonts w:ascii="Arial" w:hAnsi="Arial"/>
                <w:b/>
              </w:rPr>
              <w:t>Location:</w:t>
            </w:r>
          </w:p>
        </w:tc>
        <w:sdt>
          <w:sdtPr>
            <w:rPr>
              <w:rFonts w:ascii="Arial" w:hAnsi="Arial"/>
            </w:rPr>
            <w:id w:val="4512586"/>
            <w:placeholder>
              <w:docPart w:val="DefaultPlaceholder_22675703"/>
            </w:placeholder>
            <w:text/>
          </w:sdtPr>
          <w:sdtContent>
            <w:tc>
              <w:tcPr>
                <w:tcW w:w="3153" w:type="dxa"/>
                <w:gridSpan w:val="3"/>
              </w:tcPr>
              <w:p w:rsidR="008E36F7" w:rsidRPr="00CC473C" w:rsidRDefault="00182A7A" w:rsidP="00182A7A">
                <w:pPr>
                  <w:rPr>
                    <w:rFonts w:ascii="Arial" w:hAnsi="Arial"/>
                  </w:rPr>
                </w:pPr>
                <w:r>
                  <w:rPr>
                    <w:rFonts w:ascii="Arial" w:hAnsi="Arial"/>
                  </w:rPr>
                  <w:t>Salford Civic Centre</w:t>
                </w:r>
              </w:p>
            </w:tc>
          </w:sdtContent>
        </w:sdt>
        <w:tc>
          <w:tcPr>
            <w:tcW w:w="1851" w:type="dxa"/>
            <w:gridSpan w:val="3"/>
          </w:tcPr>
          <w:p w:rsidR="008E36F7" w:rsidRPr="00CC473C" w:rsidRDefault="008E36F7" w:rsidP="00B44F4F">
            <w:pPr>
              <w:rPr>
                <w:rFonts w:ascii="Arial" w:hAnsi="Arial"/>
                <w:b/>
              </w:rPr>
            </w:pPr>
            <w:r w:rsidRPr="00CC473C">
              <w:rPr>
                <w:rFonts w:ascii="Arial" w:hAnsi="Arial"/>
                <w:b/>
              </w:rPr>
              <w:t>Hours:</w:t>
            </w:r>
          </w:p>
        </w:tc>
        <w:sdt>
          <w:sdtPr>
            <w:rPr>
              <w:rFonts w:ascii="Arial" w:hAnsi="Arial"/>
            </w:rPr>
            <w:id w:val="4512588"/>
            <w:placeholder>
              <w:docPart w:val="DefaultPlaceholder_22675703"/>
            </w:placeholder>
            <w:text/>
          </w:sdtPr>
          <w:sdtContent>
            <w:tc>
              <w:tcPr>
                <w:tcW w:w="4088" w:type="dxa"/>
                <w:gridSpan w:val="2"/>
              </w:tcPr>
              <w:p w:rsidR="008E36F7" w:rsidRPr="00CC473C" w:rsidRDefault="00182A7A" w:rsidP="00182A7A">
                <w:pPr>
                  <w:rPr>
                    <w:rFonts w:ascii="Arial" w:hAnsi="Arial"/>
                  </w:rPr>
                </w:pPr>
                <w:r>
                  <w:rPr>
                    <w:rFonts w:ascii="Arial" w:hAnsi="Arial"/>
                  </w:rPr>
                  <w:t>36</w:t>
                </w:r>
              </w:p>
            </w:tc>
          </w:sdtContent>
        </w:sdt>
      </w:tr>
      <w:tr w:rsidR="007E0DA7" w:rsidRPr="00CC473C" w:rsidTr="00BC3621">
        <w:tblPrEx>
          <w:shd w:val="clear" w:color="auto" w:fill="FFFFFF" w:themeFill="background1"/>
        </w:tblPrEx>
        <w:tc>
          <w:tcPr>
            <w:tcW w:w="10875" w:type="dxa"/>
            <w:gridSpan w:val="8"/>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sdt>
          <w:sdtPr>
            <w:rPr>
              <w:rFonts w:ascii="Arial" w:hAnsi="Arial"/>
            </w:rPr>
            <w:id w:val="4512589"/>
            <w:placeholder>
              <w:docPart w:val="DefaultPlaceholder_22675703"/>
            </w:placeholder>
          </w:sdtPr>
          <w:sdtContent>
            <w:tc>
              <w:tcPr>
                <w:tcW w:w="10875" w:type="dxa"/>
                <w:gridSpan w:val="8"/>
                <w:shd w:val="clear" w:color="auto" w:fill="auto"/>
              </w:tcPr>
              <w:p w:rsidR="00F757F7" w:rsidRDefault="00F757F7" w:rsidP="00F757F7">
                <w:pPr>
                  <w:numPr>
                    <w:ilvl w:val="0"/>
                    <w:numId w:val="21"/>
                  </w:numPr>
                  <w:spacing w:before="60" w:after="60"/>
                  <w:jc w:val="both"/>
                  <w:rPr>
                    <w:rFonts w:ascii="Arial" w:hAnsi="Arial"/>
                  </w:rPr>
                </w:pPr>
                <w:r>
                  <w:rPr>
                    <w:rFonts w:ascii="Arial" w:hAnsi="Arial"/>
                  </w:rPr>
                  <w:t xml:space="preserve">To lead on the monitoring and application of Planning Obligations (Section 106) to enable the successful </w:t>
                </w:r>
                <w:r w:rsidR="009E2746">
                  <w:rPr>
                    <w:rFonts w:ascii="Arial" w:hAnsi="Arial"/>
                  </w:rPr>
                  <w:t>delivery of</w:t>
                </w:r>
                <w:r>
                  <w:rPr>
                    <w:rFonts w:ascii="Arial" w:hAnsi="Arial"/>
                  </w:rPr>
                  <w:t xml:space="preserve"> infrastructure</w:t>
                </w:r>
                <w:r w:rsidR="0016366D">
                  <w:rPr>
                    <w:rFonts w:ascii="Arial" w:hAnsi="Arial"/>
                  </w:rPr>
                  <w:t>, working with a high level of personal responsibility and autonomy</w:t>
                </w:r>
                <w:r w:rsidR="009E2746">
                  <w:rPr>
                    <w:rFonts w:ascii="Arial" w:hAnsi="Arial"/>
                  </w:rPr>
                  <w:t>.</w:t>
                </w:r>
              </w:p>
              <w:p w:rsidR="00F757F7" w:rsidRDefault="00F757F7" w:rsidP="00F757F7">
                <w:pPr>
                  <w:numPr>
                    <w:ilvl w:val="0"/>
                    <w:numId w:val="21"/>
                  </w:numPr>
                  <w:spacing w:before="60" w:after="60"/>
                  <w:jc w:val="both"/>
                  <w:rPr>
                    <w:rFonts w:ascii="Arial" w:hAnsi="Arial"/>
                  </w:rPr>
                </w:pPr>
                <w:r>
                  <w:rPr>
                    <w:rFonts w:ascii="Arial" w:hAnsi="Arial"/>
                  </w:rPr>
                  <w:t xml:space="preserve">To provide information </w:t>
                </w:r>
                <w:r w:rsidR="009E2746">
                  <w:rPr>
                    <w:rFonts w:ascii="Arial" w:hAnsi="Arial"/>
                  </w:rPr>
                  <w:t>and advic</w:t>
                </w:r>
                <w:r>
                  <w:rPr>
                    <w:rFonts w:ascii="Arial" w:hAnsi="Arial"/>
                  </w:rPr>
                  <w:t>e on council policy a</w:t>
                </w:r>
                <w:r w:rsidR="009E2746">
                  <w:rPr>
                    <w:rFonts w:ascii="Arial" w:hAnsi="Arial"/>
                  </w:rPr>
                  <w:t>nd procedures regarding Planning</w:t>
                </w:r>
                <w:r>
                  <w:rPr>
                    <w:rFonts w:ascii="Arial" w:hAnsi="Arial"/>
                  </w:rPr>
                  <w:t xml:space="preserve"> Obligations and where req</w:t>
                </w:r>
                <w:r w:rsidR="009E2746">
                  <w:rPr>
                    <w:rFonts w:ascii="Arial" w:hAnsi="Arial"/>
                  </w:rPr>
                  <w:t>uired to assist</w:t>
                </w:r>
                <w:r>
                  <w:rPr>
                    <w:rFonts w:ascii="Arial" w:hAnsi="Arial"/>
                  </w:rPr>
                  <w:t xml:space="preserve"> in negotiations with developers. </w:t>
                </w:r>
              </w:p>
              <w:p w:rsidR="00F757F7" w:rsidRDefault="00F757F7" w:rsidP="00F757F7">
                <w:pPr>
                  <w:numPr>
                    <w:ilvl w:val="0"/>
                    <w:numId w:val="21"/>
                  </w:numPr>
                  <w:spacing w:before="60" w:after="60"/>
                  <w:jc w:val="both"/>
                  <w:rPr>
                    <w:rFonts w:ascii="Arial" w:hAnsi="Arial"/>
                  </w:rPr>
                </w:pPr>
                <w:r>
                  <w:rPr>
                    <w:rFonts w:ascii="Arial" w:hAnsi="Arial"/>
                  </w:rPr>
                  <w:t xml:space="preserve">To implement the effective management and monitoring of </w:t>
                </w:r>
                <w:r w:rsidR="002166D6">
                  <w:rPr>
                    <w:rFonts w:ascii="Arial" w:hAnsi="Arial"/>
                  </w:rPr>
                  <w:t xml:space="preserve">financial and non-financial </w:t>
                </w:r>
                <w:r>
                  <w:rPr>
                    <w:rFonts w:ascii="Arial" w:hAnsi="Arial"/>
                  </w:rPr>
                  <w:t>Section 106 agreements.</w:t>
                </w:r>
              </w:p>
              <w:p w:rsidR="002166D6" w:rsidRDefault="002166D6" w:rsidP="00F757F7">
                <w:pPr>
                  <w:numPr>
                    <w:ilvl w:val="0"/>
                    <w:numId w:val="21"/>
                  </w:numPr>
                  <w:spacing w:before="60" w:after="60"/>
                  <w:jc w:val="both"/>
                  <w:rPr>
                    <w:rFonts w:ascii="Arial" w:hAnsi="Arial"/>
                  </w:rPr>
                </w:pPr>
                <w:r>
                  <w:rPr>
                    <w:rFonts w:ascii="Arial" w:hAnsi="Arial"/>
                  </w:rPr>
                  <w:t xml:space="preserve">To write regular reports </w:t>
                </w:r>
                <w:r w:rsidR="009E2746">
                  <w:rPr>
                    <w:rFonts w:ascii="Arial" w:hAnsi="Arial"/>
                  </w:rPr>
                  <w:t>to a range of audiences</w:t>
                </w:r>
                <w:r>
                  <w:rPr>
                    <w:rFonts w:ascii="Arial" w:hAnsi="Arial"/>
                  </w:rPr>
                  <w:t xml:space="preserve"> including </w:t>
                </w:r>
                <w:r w:rsidR="0016366D">
                  <w:rPr>
                    <w:rFonts w:ascii="Arial" w:hAnsi="Arial"/>
                  </w:rPr>
                  <w:t xml:space="preserve">senior officers, councillors and </w:t>
                </w:r>
                <w:r>
                  <w:rPr>
                    <w:rFonts w:ascii="Arial" w:hAnsi="Arial"/>
                  </w:rPr>
                  <w:t>local communities</w:t>
                </w:r>
                <w:r w:rsidR="009E2746">
                  <w:rPr>
                    <w:rFonts w:ascii="Arial" w:hAnsi="Arial"/>
                  </w:rPr>
                  <w:t xml:space="preserve"> on all aspects of</w:t>
                </w:r>
                <w:r>
                  <w:rPr>
                    <w:rFonts w:ascii="Arial" w:hAnsi="Arial"/>
                  </w:rPr>
                  <w:t xml:space="preserve"> the Section 106 process, including </w:t>
                </w:r>
                <w:r w:rsidR="009E2746">
                  <w:rPr>
                    <w:rFonts w:ascii="Arial" w:hAnsi="Arial"/>
                  </w:rPr>
                  <w:t>how Section 106 contributions</w:t>
                </w:r>
                <w:r>
                  <w:rPr>
                    <w:rFonts w:ascii="Arial" w:hAnsi="Arial"/>
                  </w:rPr>
                  <w:t xml:space="preserve"> have been spent.</w:t>
                </w:r>
              </w:p>
              <w:p w:rsidR="00086571" w:rsidRDefault="002166D6" w:rsidP="00F757F7">
                <w:pPr>
                  <w:numPr>
                    <w:ilvl w:val="0"/>
                    <w:numId w:val="21"/>
                  </w:numPr>
                  <w:spacing w:before="60" w:after="60"/>
                  <w:jc w:val="both"/>
                  <w:rPr>
                    <w:rFonts w:ascii="Arial" w:hAnsi="Arial"/>
                  </w:rPr>
                </w:pPr>
                <w:r>
                  <w:rPr>
                    <w:rFonts w:ascii="Arial" w:hAnsi="Arial"/>
                  </w:rPr>
                  <w:t xml:space="preserve">To work with </w:t>
                </w:r>
                <w:r w:rsidR="00CE5BAD">
                  <w:rPr>
                    <w:rFonts w:ascii="Arial" w:hAnsi="Arial"/>
                  </w:rPr>
                  <w:t>council services</w:t>
                </w:r>
                <w:r w:rsidR="0016366D">
                  <w:rPr>
                    <w:rFonts w:ascii="Arial" w:hAnsi="Arial"/>
                  </w:rPr>
                  <w:t xml:space="preserve"> and local councillors </w:t>
                </w:r>
                <w:r>
                  <w:rPr>
                    <w:rFonts w:ascii="Arial" w:hAnsi="Arial"/>
                  </w:rPr>
                  <w:t>to identify priority</w:t>
                </w:r>
                <w:r w:rsidR="00CE5BAD">
                  <w:rPr>
                    <w:rFonts w:ascii="Arial" w:hAnsi="Arial"/>
                  </w:rPr>
                  <w:t xml:space="preserve"> projects for Section 106 spend and be the main point of contact </w:t>
                </w:r>
                <w:proofErr w:type="gramStart"/>
                <w:r w:rsidR="00CE5BAD">
                  <w:rPr>
                    <w:rFonts w:ascii="Arial" w:hAnsi="Arial"/>
                  </w:rPr>
                  <w:t>for  any</w:t>
                </w:r>
                <w:proofErr w:type="gramEnd"/>
                <w:r w:rsidR="00CE5BAD">
                  <w:rPr>
                    <w:rFonts w:ascii="Arial" w:hAnsi="Arial"/>
                  </w:rPr>
                  <w:t xml:space="preserve"> Section 106 queries.</w:t>
                </w:r>
              </w:p>
              <w:p w:rsidR="00D1484E" w:rsidRPr="00D1484E" w:rsidRDefault="00086571" w:rsidP="00F757F7">
                <w:pPr>
                  <w:numPr>
                    <w:ilvl w:val="0"/>
                    <w:numId w:val="21"/>
                  </w:numPr>
                  <w:spacing w:before="60" w:after="60"/>
                  <w:jc w:val="both"/>
                  <w:rPr>
                    <w:rFonts w:ascii="Arial" w:hAnsi="Arial"/>
                  </w:rPr>
                </w:pPr>
                <w:r>
                  <w:rPr>
                    <w:rFonts w:ascii="Arial" w:hAnsi="Arial"/>
                  </w:rPr>
                  <w:t xml:space="preserve">To enforce compliance of Section 106 agreements and where required work closely with the councils legal team to take effective action. </w:t>
                </w:r>
              </w:p>
            </w:tc>
          </w:sdtContent>
        </w:sdt>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10"/>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10"/>
            <w:shd w:val="clear" w:color="auto" w:fill="auto"/>
          </w:tcPr>
          <w:p w:rsidR="00D4435D" w:rsidRPr="00D4435D" w:rsidRDefault="00D4435D" w:rsidP="00B44F4F">
            <w:pPr>
              <w:rPr>
                <w:rFonts w:ascii="Arial" w:hAnsi="Arial"/>
                <w:sz w:val="12"/>
              </w:rPr>
            </w:pPr>
          </w:p>
        </w:tc>
      </w:tr>
      <w:tr w:rsidR="00D4435D" w:rsidRPr="00CC473C" w:rsidTr="00F10F05">
        <w:trPr>
          <w:gridBefore w:val="1"/>
          <w:gridAfter w:val="1"/>
          <w:wBefore w:w="113" w:type="dxa"/>
          <w:wAfter w:w="78" w:type="dxa"/>
          <w:cantSplit/>
          <w:trHeight w:hRule="exact" w:val="4916"/>
        </w:trPr>
        <w:sdt>
          <w:sdtPr>
            <w:rPr>
              <w:rFonts w:ascii="Arial" w:hAnsi="Arial"/>
            </w:rPr>
            <w:id w:val="4512590"/>
            <w:placeholder>
              <w:docPart w:val="DefaultPlaceholder_22675703"/>
            </w:placeholder>
          </w:sdtPr>
          <w:sdtEndPr>
            <w:rPr>
              <w:rFonts w:ascii="Calibri" w:hAnsi="Calibri"/>
            </w:rPr>
          </w:sdtEndPr>
          <w:sdtContent>
            <w:tc>
              <w:tcPr>
                <w:tcW w:w="7507" w:type="dxa"/>
                <w:gridSpan w:val="4"/>
              </w:tcPr>
              <w:p w:rsidR="008C4FC7" w:rsidRDefault="008C4FC7" w:rsidP="008C4FC7">
                <w:pPr>
                  <w:pStyle w:val="ListParagraph"/>
                  <w:numPr>
                    <w:ilvl w:val="0"/>
                    <w:numId w:val="23"/>
                  </w:numPr>
                  <w:jc w:val="both"/>
                  <w:rPr>
                    <w:rFonts w:ascii="Arial" w:hAnsi="Arial"/>
                  </w:rPr>
                </w:pPr>
                <w:r>
                  <w:rPr>
                    <w:rFonts w:ascii="Arial" w:hAnsi="Arial"/>
                  </w:rPr>
                  <w:t>En</w:t>
                </w:r>
                <w:r w:rsidR="007229FA">
                  <w:rPr>
                    <w:rFonts w:ascii="Arial" w:hAnsi="Arial"/>
                  </w:rPr>
                  <w:t>ter</w:t>
                </w:r>
                <w:r>
                  <w:rPr>
                    <w:rFonts w:ascii="Arial" w:hAnsi="Arial"/>
                  </w:rPr>
                  <w:t xml:space="preserve"> into Section 1</w:t>
                </w:r>
                <w:r w:rsidR="007229FA">
                  <w:rPr>
                    <w:rFonts w:ascii="Arial" w:hAnsi="Arial"/>
                  </w:rPr>
                  <w:t>0</w:t>
                </w:r>
                <w:r>
                  <w:rPr>
                    <w:rFonts w:ascii="Arial" w:hAnsi="Arial"/>
                  </w:rPr>
                  <w:t>6 agreements to secure financial and non-financial obligations which mitigate new development.</w:t>
                </w:r>
              </w:p>
              <w:p w:rsidR="007229FA" w:rsidRDefault="007229FA" w:rsidP="008C4FC7">
                <w:pPr>
                  <w:pStyle w:val="ListParagraph"/>
                  <w:numPr>
                    <w:ilvl w:val="0"/>
                    <w:numId w:val="23"/>
                  </w:numPr>
                  <w:jc w:val="both"/>
                  <w:rPr>
                    <w:rFonts w:ascii="Arial" w:hAnsi="Arial"/>
                  </w:rPr>
                </w:pPr>
                <w:r>
                  <w:rPr>
                    <w:rFonts w:ascii="Arial" w:hAnsi="Arial"/>
                  </w:rPr>
                  <w:t xml:space="preserve">Identify annually </w:t>
                </w:r>
                <w:r w:rsidR="008A0419">
                  <w:rPr>
                    <w:rFonts w:ascii="Arial" w:hAnsi="Arial"/>
                  </w:rPr>
                  <w:t xml:space="preserve">a </w:t>
                </w:r>
                <w:r>
                  <w:rPr>
                    <w:rFonts w:ascii="Arial" w:hAnsi="Arial"/>
                  </w:rPr>
                  <w:t>Section 106 priority infrastructure list.</w:t>
                </w:r>
              </w:p>
              <w:p w:rsidR="008C4FC7" w:rsidRDefault="0016366D" w:rsidP="008C4FC7">
                <w:pPr>
                  <w:pStyle w:val="ListParagraph"/>
                  <w:numPr>
                    <w:ilvl w:val="0"/>
                    <w:numId w:val="23"/>
                  </w:numPr>
                  <w:jc w:val="both"/>
                  <w:rPr>
                    <w:rFonts w:ascii="Arial" w:hAnsi="Arial"/>
                  </w:rPr>
                </w:pPr>
                <w:r>
                  <w:rPr>
                    <w:rFonts w:ascii="Arial" w:hAnsi="Arial"/>
                  </w:rPr>
                  <w:t>Ensure the timely collection and s</w:t>
                </w:r>
                <w:r w:rsidR="007229FA">
                  <w:rPr>
                    <w:rFonts w:ascii="Arial" w:hAnsi="Arial"/>
                  </w:rPr>
                  <w:t>pend</w:t>
                </w:r>
                <w:r>
                  <w:rPr>
                    <w:rFonts w:ascii="Arial" w:hAnsi="Arial"/>
                  </w:rPr>
                  <w:t xml:space="preserve"> of</w:t>
                </w:r>
                <w:r w:rsidR="007229FA">
                  <w:rPr>
                    <w:rFonts w:ascii="Arial" w:hAnsi="Arial"/>
                  </w:rPr>
                  <w:t xml:space="preserve"> Section 106 contributions</w:t>
                </w:r>
                <w:r w:rsidR="008C4FC7">
                  <w:rPr>
                    <w:rFonts w:ascii="Arial" w:hAnsi="Arial"/>
                  </w:rPr>
                  <w:t xml:space="preserve"> in accordance with terms of </w:t>
                </w:r>
                <w:r w:rsidR="007229FA">
                  <w:rPr>
                    <w:rFonts w:ascii="Arial" w:hAnsi="Arial"/>
                  </w:rPr>
                  <w:t xml:space="preserve">the </w:t>
                </w:r>
                <w:r w:rsidR="008C4FC7">
                  <w:rPr>
                    <w:rFonts w:ascii="Arial" w:hAnsi="Arial"/>
                  </w:rPr>
                  <w:t>Section 106 agreement.</w:t>
                </w:r>
              </w:p>
              <w:p w:rsidR="00D4435D" w:rsidRPr="00D63F6F" w:rsidRDefault="008C4FC7" w:rsidP="00D63F6F">
                <w:pPr>
                  <w:pStyle w:val="ListParagraph"/>
                  <w:numPr>
                    <w:ilvl w:val="0"/>
                    <w:numId w:val="23"/>
                  </w:numPr>
                  <w:jc w:val="both"/>
                  <w:rPr>
                    <w:rFonts w:ascii="Arial" w:hAnsi="Arial"/>
                  </w:rPr>
                </w:pPr>
                <w:r>
                  <w:rPr>
                    <w:rFonts w:ascii="Arial" w:hAnsi="Arial"/>
                  </w:rPr>
                  <w:t xml:space="preserve">Reports on all Section 106 activities </w:t>
                </w:r>
                <w:r w:rsidR="007229FA">
                  <w:rPr>
                    <w:rFonts w:ascii="Arial" w:hAnsi="Arial"/>
                  </w:rPr>
                  <w:t>quarterly</w:t>
                </w:r>
                <w:r>
                  <w:rPr>
                    <w:rFonts w:ascii="Arial" w:hAnsi="Arial"/>
                  </w:rPr>
                  <w:t xml:space="preserve"> and annually made publically available</w:t>
                </w:r>
                <w:r w:rsidR="0016366D">
                  <w:rPr>
                    <w:rFonts w:ascii="Arial" w:hAnsi="Arial"/>
                  </w:rPr>
                  <w:t xml:space="preserve"> through reports to relevant Lead Members and/or City Mayo</w:t>
                </w:r>
                <w:r w:rsidR="00D63F6F">
                  <w:rPr>
                    <w:rFonts w:ascii="Arial" w:hAnsi="Arial"/>
                  </w:rPr>
                  <w:t>r.</w:t>
                </w:r>
              </w:p>
            </w:tc>
          </w:sdtContent>
        </w:sdt>
        <w:tc>
          <w:tcPr>
            <w:tcW w:w="425" w:type="dxa"/>
          </w:tcPr>
          <w:p w:rsidR="00D4435D" w:rsidRPr="006931D5" w:rsidRDefault="00D4435D" w:rsidP="00514B9C">
            <w:pPr>
              <w:pStyle w:val="ListParagraph"/>
              <w:ind w:left="456"/>
              <w:jc w:val="both"/>
              <w:rPr>
                <w:rFonts w:ascii="Arial" w:hAnsi="Arial"/>
              </w:rPr>
            </w:pPr>
          </w:p>
        </w:tc>
        <w:sdt>
          <w:sdtPr>
            <w:rPr>
              <w:rFonts w:ascii="Arial" w:hAnsi="Arial" w:cs="Arial"/>
              <w:color w:val="808080"/>
            </w:rPr>
            <w:id w:val="4512591"/>
            <w:placeholder>
              <w:docPart w:val="DefaultPlaceholder_22675703"/>
            </w:placeholder>
          </w:sdtPr>
          <w:sdtEndPr>
            <w:rPr>
              <w:rFonts w:ascii="Calibri" w:hAnsi="Calibri" w:cs="Times New Roman"/>
              <w:color w:val="auto"/>
            </w:rPr>
          </w:sdtEndPr>
          <w:sdtContent>
            <w:tc>
              <w:tcPr>
                <w:tcW w:w="7798" w:type="dxa"/>
                <w:gridSpan w:val="5"/>
              </w:tcPr>
              <w:p w:rsidR="00D63F6F" w:rsidRDefault="00D63F6F" w:rsidP="00D63F6F">
                <w:pPr>
                  <w:pStyle w:val="ListParagraph"/>
                  <w:numPr>
                    <w:ilvl w:val="0"/>
                    <w:numId w:val="23"/>
                  </w:numPr>
                  <w:jc w:val="both"/>
                  <w:rPr>
                    <w:rFonts w:ascii="Arial" w:hAnsi="Arial"/>
                  </w:rPr>
                </w:pPr>
                <w:r>
                  <w:rPr>
                    <w:rFonts w:ascii="Arial" w:hAnsi="Arial"/>
                  </w:rPr>
                  <w:t>Use Section 106 monies to support delivery of key regeneration projects and initiatives and to lever in match funding.</w:t>
                </w:r>
              </w:p>
              <w:p w:rsidR="00D63F6F" w:rsidRDefault="00D63F6F" w:rsidP="00D63F6F">
                <w:pPr>
                  <w:pStyle w:val="ListParagraph"/>
                  <w:numPr>
                    <w:ilvl w:val="0"/>
                    <w:numId w:val="23"/>
                  </w:numPr>
                  <w:jc w:val="both"/>
                  <w:rPr>
                    <w:rFonts w:ascii="Arial" w:hAnsi="Arial"/>
                  </w:rPr>
                </w:pPr>
                <w:r>
                  <w:rPr>
                    <w:rFonts w:ascii="Arial" w:hAnsi="Arial"/>
                  </w:rPr>
                  <w:t>To provide a lead contact for advice on Section 106 planning obligations.</w:t>
                </w:r>
              </w:p>
              <w:p w:rsidR="003A58D4" w:rsidRPr="00D63F6F" w:rsidRDefault="00D63F6F" w:rsidP="00D63F6F">
                <w:pPr>
                  <w:pStyle w:val="ListParagraph"/>
                  <w:numPr>
                    <w:ilvl w:val="0"/>
                    <w:numId w:val="23"/>
                  </w:numPr>
                  <w:jc w:val="both"/>
                  <w:rPr>
                    <w:rFonts w:ascii="Arial" w:hAnsi="Arial"/>
                  </w:rPr>
                </w:pPr>
                <w:r>
                  <w:rPr>
                    <w:rFonts w:ascii="Arial" w:hAnsi="Arial"/>
                  </w:rPr>
                  <w:t>Ensuring the City Council is managing planning obligations in line with current legislation such as pooling restrictions and local policies.</w:t>
                </w:r>
              </w:p>
            </w:tc>
          </w:sdtContent>
        </w:sdt>
      </w:tr>
      <w:tr w:rsidR="00BF28A4" w:rsidRPr="00CC473C" w:rsidTr="00F10F05">
        <w:trPr>
          <w:gridBefore w:val="1"/>
          <w:gridAfter w:val="1"/>
          <w:wBefore w:w="113" w:type="dxa"/>
          <w:wAfter w:w="78" w:type="dxa"/>
          <w:trHeight w:val="294"/>
        </w:trPr>
        <w:tc>
          <w:tcPr>
            <w:tcW w:w="15730" w:type="dxa"/>
            <w:gridSpan w:val="10"/>
            <w:shd w:val="clear" w:color="auto" w:fill="E60088"/>
          </w:tcPr>
          <w:p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rsidTr="00F10F05">
        <w:trPr>
          <w:gridBefore w:val="1"/>
          <w:gridAfter w:val="1"/>
          <w:wBefore w:w="113" w:type="dxa"/>
          <w:wAfter w:w="78" w:type="dxa"/>
          <w:trHeight w:val="114"/>
        </w:trPr>
        <w:tc>
          <w:tcPr>
            <w:tcW w:w="15730" w:type="dxa"/>
            <w:gridSpan w:val="10"/>
            <w:shd w:val="clear" w:color="auto" w:fill="auto"/>
          </w:tcPr>
          <w:p w:rsidR="00D4435D" w:rsidRPr="00D4435D" w:rsidRDefault="00D4435D" w:rsidP="00B44F4F">
            <w:pPr>
              <w:rPr>
                <w:rFonts w:ascii="Arial" w:hAnsi="Arial"/>
                <w:b/>
                <w:color w:val="FFFFFF" w:themeColor="background1"/>
                <w:sz w:val="10"/>
              </w:rPr>
            </w:pPr>
          </w:p>
        </w:tc>
      </w:tr>
    </w:tbl>
    <w:p w:rsidR="00712438" w:rsidRDefault="00712438" w:rsidP="003A58D4">
      <w:pPr>
        <w:pStyle w:val="ListParagraph"/>
        <w:numPr>
          <w:ilvl w:val="0"/>
          <w:numId w:val="20"/>
        </w:numPr>
        <w:ind w:left="454"/>
        <w:jc w:val="both"/>
        <w:rPr>
          <w:rFonts w:ascii="Arial" w:hAnsi="Arial"/>
        </w:rPr>
        <w:sectPr w:rsidR="00712438" w:rsidSect="006502DF">
          <w:headerReference w:type="even" r:id="rId10"/>
          <w:headerReference w:type="default" r:id="rId11"/>
          <w:headerReference w:type="first" r:id="rId12"/>
          <w:pgSz w:w="16838" w:h="11906" w:orient="landscape"/>
          <w:pgMar w:top="567" w:right="567" w:bottom="244" w:left="567" w:header="0" w:footer="0" w:gutter="0"/>
          <w:cols w:space="708"/>
          <w:docGrid w:linePitch="360"/>
        </w:sectPr>
      </w:pPr>
    </w:p>
    <w:tbl>
      <w:tblPr>
        <w:tblStyle w:val="TableGrid"/>
        <w:tblW w:w="1573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507"/>
        <w:gridCol w:w="425"/>
        <w:gridCol w:w="7798"/>
      </w:tblGrid>
      <w:tr w:rsidR="00D4435D" w:rsidRPr="00CC473C" w:rsidTr="00712438">
        <w:trPr>
          <w:cantSplit/>
          <w:trHeight w:hRule="exact" w:val="5069"/>
        </w:trPr>
        <w:tc>
          <w:tcPr>
            <w:tcW w:w="7507" w:type="dxa"/>
            <w:tcBorders>
              <w:bottom w:val="nil"/>
            </w:tcBorders>
            <w:shd w:val="clear" w:color="auto" w:fill="auto"/>
          </w:tcPr>
          <w:p w:rsidR="00D4435D" w:rsidRPr="007E0DA7" w:rsidRDefault="0018083D" w:rsidP="003A58D4">
            <w:pPr>
              <w:pStyle w:val="ListParagraph"/>
              <w:numPr>
                <w:ilvl w:val="0"/>
                <w:numId w:val="20"/>
              </w:numPr>
              <w:ind w:left="454"/>
              <w:jc w:val="both"/>
              <w:rPr>
                <w:rFonts w:ascii="Arial" w:hAnsi="Arial"/>
              </w:rPr>
            </w:pPr>
            <w:r>
              <w:rPr>
                <w:rFonts w:ascii="Arial" w:hAnsi="Arial"/>
              </w:rPr>
              <w:lastRenderedPageBreak/>
              <w:t>P</w:t>
            </w:r>
            <w:r w:rsidR="00D4435D" w:rsidRPr="007E0DA7">
              <w:rPr>
                <w:rFonts w:ascii="Arial" w:hAnsi="Arial"/>
              </w:rPr>
              <w:t xml:space="preserve">roven technical skills and ability in the role </w:t>
            </w:r>
            <w:r w:rsidR="006174A6">
              <w:rPr>
                <w:rFonts w:ascii="Arial" w:hAnsi="Arial"/>
              </w:rPr>
              <w:t>with</w:t>
            </w:r>
            <w:r w:rsidR="00D4435D" w:rsidRPr="007E0DA7">
              <w:rPr>
                <w:rFonts w:ascii="Arial" w:hAnsi="Arial"/>
              </w:rPr>
              <w:t xml:space="preserve"> </w:t>
            </w:r>
            <w:r w:rsidR="006174A6">
              <w:rPr>
                <w:rFonts w:ascii="Arial" w:hAnsi="Arial"/>
              </w:rPr>
              <w:t xml:space="preserve">a </w:t>
            </w:r>
            <w:r w:rsidR="006174A6" w:rsidRPr="007E0DA7">
              <w:rPr>
                <w:rFonts w:ascii="Arial" w:hAnsi="Arial"/>
              </w:rPr>
              <w:t>record of accomplishment</w:t>
            </w:r>
            <w:r w:rsidR="006174A6">
              <w:rPr>
                <w:rFonts w:ascii="Arial" w:hAnsi="Arial"/>
              </w:rPr>
              <w:t xml:space="preserve"> for delivering outcomes</w:t>
            </w:r>
          </w:p>
          <w:p w:rsidR="00D4435D" w:rsidRPr="007E0DA7" w:rsidRDefault="0018083D" w:rsidP="003A58D4">
            <w:pPr>
              <w:pStyle w:val="ListParagraph"/>
              <w:numPr>
                <w:ilvl w:val="0"/>
                <w:numId w:val="20"/>
              </w:numPr>
              <w:ind w:left="454"/>
              <w:jc w:val="both"/>
              <w:rPr>
                <w:rFonts w:ascii="Arial" w:hAnsi="Arial"/>
              </w:rPr>
            </w:pPr>
            <w:r>
              <w:rPr>
                <w:rFonts w:ascii="Arial" w:hAnsi="Arial"/>
              </w:rPr>
              <w:t>P</w:t>
            </w:r>
            <w:r w:rsidR="00D4435D" w:rsidRPr="007E0DA7">
              <w:rPr>
                <w:rFonts w:ascii="Arial" w:hAnsi="Arial"/>
              </w:rPr>
              <w:t xml:space="preserve">rofessional credibility through proven </w:t>
            </w:r>
            <w:r w:rsidR="006174A6">
              <w:rPr>
                <w:rFonts w:ascii="Arial" w:hAnsi="Arial"/>
              </w:rPr>
              <w:t xml:space="preserve">relevant </w:t>
            </w:r>
            <w:r w:rsidR="00D4435D" w:rsidRPr="007E0DA7">
              <w:rPr>
                <w:rFonts w:ascii="Arial" w:hAnsi="Arial"/>
              </w:rPr>
              <w:t>experience</w:t>
            </w:r>
          </w:p>
          <w:p w:rsidR="0018083D" w:rsidRDefault="0018083D" w:rsidP="003A58D4">
            <w:pPr>
              <w:pStyle w:val="ListParagraph"/>
              <w:numPr>
                <w:ilvl w:val="0"/>
                <w:numId w:val="20"/>
              </w:numPr>
              <w:ind w:left="454"/>
              <w:jc w:val="both"/>
              <w:rPr>
                <w:rFonts w:ascii="Arial" w:hAnsi="Arial"/>
              </w:rPr>
            </w:pPr>
            <w:r>
              <w:rPr>
                <w:rFonts w:ascii="Arial" w:hAnsi="Arial"/>
              </w:rPr>
              <w:t>M</w:t>
            </w:r>
            <w:r w:rsidRPr="007E0DA7">
              <w:rPr>
                <w:rFonts w:ascii="Arial" w:hAnsi="Arial"/>
              </w:rPr>
              <w:t>ode</w:t>
            </w:r>
            <w:r w:rsidR="00712438">
              <w:rPr>
                <w:rFonts w:ascii="Arial" w:hAnsi="Arial"/>
              </w:rPr>
              <w:t>ls and demonstrates our values and</w:t>
            </w:r>
            <w:r w:rsidR="006174A6">
              <w:rPr>
                <w:rFonts w:ascii="Arial" w:hAnsi="Arial"/>
              </w:rPr>
              <w:t xml:space="preserve"> behaviours</w:t>
            </w:r>
          </w:p>
          <w:sdt>
            <w:sdtPr>
              <w:rPr>
                <w:rFonts w:ascii="Arial" w:eastAsiaTheme="minorHAnsi" w:hAnsi="Arial" w:cstheme="minorBidi"/>
              </w:rPr>
              <w:id w:val="4512592"/>
              <w:placeholder>
                <w:docPart w:val="DefaultPlaceholder_22675703"/>
              </w:placeholder>
            </w:sdtPr>
            <w:sdtEndPr>
              <w:rPr>
                <w:rFonts w:ascii="Calibri" w:eastAsia="Calibri" w:hAnsi="Calibri" w:cs="Times New Roman"/>
              </w:rPr>
            </w:sdtEndPr>
            <w:sdtContent>
              <w:sdt>
                <w:sdtPr>
                  <w:rPr>
                    <w:rFonts w:ascii="Arial" w:hAnsi="Arial"/>
                  </w:rPr>
                  <w:id w:val="-318509307"/>
                  <w:placeholder>
                    <w:docPart w:val="640B4DA27BB04D1580C50F87BA485954"/>
                  </w:placeholder>
                </w:sdtPr>
                <w:sdtEndPr>
                  <w:rPr>
                    <w:rFonts w:ascii="Calibri" w:hAnsi="Calibri"/>
                  </w:rPr>
                </w:sdtEndPr>
                <w:sdtContent>
                  <w:p w:rsidR="003519E5" w:rsidRPr="003519E5" w:rsidRDefault="003519E5" w:rsidP="003519E5">
                    <w:pPr>
                      <w:pStyle w:val="ListParagraph"/>
                      <w:numPr>
                        <w:ilvl w:val="0"/>
                        <w:numId w:val="20"/>
                      </w:numPr>
                      <w:ind w:left="454"/>
                      <w:jc w:val="both"/>
                      <w:rPr>
                        <w:rFonts w:ascii="Arial" w:hAnsi="Arial"/>
                      </w:rPr>
                    </w:pPr>
                    <w:r w:rsidRPr="003519E5">
                      <w:rPr>
                        <w:rFonts w:ascii="Arial" w:hAnsi="Arial"/>
                      </w:rPr>
                      <w:t>Degree level or Post Graduate Level with qualifications in relevant subjects (Town Planning, Regeneration, or other related subject).</w:t>
                    </w:r>
                  </w:p>
                  <w:p w:rsidR="003519E5" w:rsidRDefault="003519E5" w:rsidP="003519E5">
                    <w:pPr>
                      <w:pStyle w:val="ListParagraph"/>
                      <w:numPr>
                        <w:ilvl w:val="0"/>
                        <w:numId w:val="20"/>
                      </w:numPr>
                      <w:ind w:left="454"/>
                      <w:jc w:val="both"/>
                      <w:rPr>
                        <w:rFonts w:ascii="Arial" w:hAnsi="Arial"/>
                      </w:rPr>
                    </w:pPr>
                    <w:r>
                      <w:rPr>
                        <w:rFonts w:ascii="Arial" w:hAnsi="Arial"/>
                      </w:rPr>
                      <w:t>Minimum 2-3 year post qualification experience within planning or an equivalent sector.</w:t>
                    </w:r>
                  </w:p>
                  <w:p w:rsidR="00D4435D" w:rsidRPr="00D63F6F" w:rsidRDefault="003519E5" w:rsidP="00D63F6F">
                    <w:pPr>
                      <w:pStyle w:val="ListParagraph"/>
                      <w:numPr>
                        <w:ilvl w:val="0"/>
                        <w:numId w:val="20"/>
                      </w:numPr>
                      <w:ind w:left="454"/>
                      <w:jc w:val="both"/>
                      <w:rPr>
                        <w:rFonts w:ascii="Arial" w:hAnsi="Arial"/>
                      </w:rPr>
                    </w:pPr>
                    <w:r>
                      <w:rPr>
                        <w:rFonts w:ascii="Arial" w:hAnsi="Arial"/>
                      </w:rPr>
                      <w:t>A good working knowledge of planning legislation in relation to Section 106.</w:t>
                    </w:r>
                  </w:p>
                </w:sdtContent>
              </w:sdt>
            </w:sdtContent>
          </w:sdt>
        </w:tc>
        <w:tc>
          <w:tcPr>
            <w:tcW w:w="425" w:type="dxa"/>
            <w:shd w:val="clear" w:color="auto" w:fill="auto"/>
          </w:tcPr>
          <w:p w:rsidR="00D4435D" w:rsidRPr="007E0DA7" w:rsidRDefault="00D4435D" w:rsidP="003A58D4">
            <w:pPr>
              <w:pStyle w:val="ListParagraph"/>
              <w:ind w:left="454"/>
              <w:jc w:val="both"/>
              <w:rPr>
                <w:rFonts w:ascii="Arial" w:hAnsi="Arial"/>
              </w:rPr>
            </w:pPr>
          </w:p>
        </w:tc>
        <w:sdt>
          <w:sdtPr>
            <w:rPr>
              <w:rFonts w:ascii="Arial" w:hAnsi="Arial"/>
              <w:color w:val="808080"/>
            </w:rPr>
            <w:id w:val="4512593"/>
            <w:placeholder>
              <w:docPart w:val="DefaultPlaceholder_22675703"/>
            </w:placeholder>
          </w:sdtPr>
          <w:sdtEndPr>
            <w:rPr>
              <w:rFonts w:ascii="Calibri" w:hAnsi="Calibri"/>
              <w:color w:val="auto"/>
            </w:rPr>
          </w:sdtEndPr>
          <w:sdtContent>
            <w:tc>
              <w:tcPr>
                <w:tcW w:w="7798" w:type="dxa"/>
                <w:tcBorders>
                  <w:bottom w:val="nil"/>
                </w:tcBorders>
                <w:shd w:val="clear" w:color="auto" w:fill="auto"/>
              </w:tcPr>
              <w:p w:rsidR="00D63F6F" w:rsidRDefault="00D63F6F" w:rsidP="00D63F6F">
                <w:pPr>
                  <w:pStyle w:val="ListParagraph"/>
                  <w:numPr>
                    <w:ilvl w:val="0"/>
                    <w:numId w:val="20"/>
                  </w:numPr>
                  <w:ind w:left="454"/>
                  <w:jc w:val="both"/>
                  <w:rPr>
                    <w:rFonts w:ascii="Arial" w:hAnsi="Arial"/>
                  </w:rPr>
                </w:pPr>
                <w:r>
                  <w:rPr>
                    <w:rFonts w:ascii="Arial" w:hAnsi="Arial"/>
                  </w:rPr>
                  <w:t>An ability to coordinate projects to ensure the implementation of Section 106 monies.</w:t>
                </w:r>
              </w:p>
              <w:p w:rsidR="00D63F6F" w:rsidRDefault="00D63F6F" w:rsidP="00D63F6F">
                <w:pPr>
                  <w:pStyle w:val="ListParagraph"/>
                  <w:numPr>
                    <w:ilvl w:val="0"/>
                    <w:numId w:val="20"/>
                  </w:numPr>
                  <w:ind w:left="454"/>
                  <w:jc w:val="both"/>
                  <w:rPr>
                    <w:rFonts w:ascii="Arial" w:hAnsi="Arial"/>
                  </w:rPr>
                </w:pPr>
                <w:r>
                  <w:rPr>
                    <w:rFonts w:ascii="Arial" w:hAnsi="Arial"/>
                  </w:rPr>
                  <w:t xml:space="preserve">An ability to work with complex financial and legal information and be able to present clearly and concisely. </w:t>
                </w:r>
              </w:p>
              <w:p w:rsidR="00D63F6F" w:rsidRDefault="00D63F6F" w:rsidP="00D63F6F">
                <w:pPr>
                  <w:pStyle w:val="ListParagraph"/>
                  <w:numPr>
                    <w:ilvl w:val="0"/>
                    <w:numId w:val="20"/>
                  </w:numPr>
                  <w:ind w:left="454"/>
                  <w:jc w:val="both"/>
                  <w:rPr>
                    <w:rFonts w:ascii="Arial" w:hAnsi="Arial"/>
                  </w:rPr>
                </w:pPr>
                <w:r>
                  <w:rPr>
                    <w:rFonts w:ascii="Arial" w:hAnsi="Arial"/>
                  </w:rPr>
                  <w:t>An ability to undertake monitoring work with an attention to detail.</w:t>
                </w:r>
              </w:p>
              <w:p w:rsidR="00D63F6F" w:rsidRDefault="00D63F6F" w:rsidP="00D63F6F">
                <w:pPr>
                  <w:pStyle w:val="ListParagraph"/>
                  <w:numPr>
                    <w:ilvl w:val="0"/>
                    <w:numId w:val="20"/>
                  </w:numPr>
                  <w:ind w:left="454"/>
                  <w:jc w:val="both"/>
                  <w:rPr>
                    <w:rFonts w:ascii="Arial" w:hAnsi="Arial"/>
                  </w:rPr>
                </w:pPr>
                <w:r>
                  <w:rPr>
                    <w:rFonts w:ascii="Arial" w:hAnsi="Arial"/>
                  </w:rPr>
                  <w:t>Good communication skills and ability to work with colleagues, senior officers, Councillors and the local community.</w:t>
                </w:r>
              </w:p>
              <w:p w:rsidR="00D63F6F" w:rsidRDefault="00D63F6F" w:rsidP="00D63F6F">
                <w:pPr>
                  <w:pStyle w:val="ListParagraph"/>
                  <w:numPr>
                    <w:ilvl w:val="0"/>
                    <w:numId w:val="20"/>
                  </w:numPr>
                  <w:ind w:left="454"/>
                  <w:jc w:val="both"/>
                  <w:rPr>
                    <w:rFonts w:ascii="Arial" w:hAnsi="Arial"/>
                  </w:rPr>
                </w:pPr>
                <w:r>
                  <w:rPr>
                    <w:rFonts w:ascii="Arial" w:hAnsi="Arial"/>
                  </w:rPr>
                  <w:t>Ability to prioritise and work within deadlines</w:t>
                </w:r>
              </w:p>
              <w:p w:rsidR="00D4435D" w:rsidRPr="00D63F6F" w:rsidRDefault="00D63F6F" w:rsidP="00D63F6F">
                <w:pPr>
                  <w:pStyle w:val="ListParagraph"/>
                  <w:numPr>
                    <w:ilvl w:val="0"/>
                    <w:numId w:val="20"/>
                  </w:numPr>
                  <w:ind w:left="454"/>
                  <w:jc w:val="both"/>
                  <w:rPr>
                    <w:rFonts w:asciiTheme="minorHAnsi" w:eastAsiaTheme="minorHAnsi" w:hAnsiTheme="minorHAnsi" w:cstheme="minorBidi"/>
                  </w:rPr>
                </w:pPr>
                <w:r w:rsidRPr="003519E5">
                  <w:rPr>
                    <w:rFonts w:ascii="Arial" w:hAnsi="Arial"/>
                  </w:rPr>
                  <w:t>Self motivated and able to work without supervision.</w:t>
                </w:r>
              </w:p>
            </w:tc>
          </w:sdtContent>
        </w:sdt>
      </w:tr>
    </w:tbl>
    <w:p w:rsidR="00712438" w:rsidRDefault="00712438" w:rsidP="00B44F4F">
      <w:pPr>
        <w:rPr>
          <w:rFonts w:ascii="Arial" w:hAnsi="Arial"/>
          <w:b/>
          <w:color w:val="FFFFFF" w:themeColor="background1"/>
          <w:sz w:val="28"/>
        </w:rPr>
        <w:sectPr w:rsidR="00712438" w:rsidSect="00712438">
          <w:type w:val="continuous"/>
          <w:pgSz w:w="16838" w:h="11906" w:orient="landscape"/>
          <w:pgMar w:top="567" w:right="567" w:bottom="244" w:left="567" w:header="0" w:footer="0" w:gutter="0"/>
          <w:cols w:space="708"/>
          <w:docGrid w:linePitch="360"/>
        </w:sect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98"/>
        <w:gridCol w:w="277"/>
        <w:gridCol w:w="5046"/>
      </w:tblGrid>
      <w:tr w:rsidR="00C53BB3" w:rsidRPr="00CC473C" w:rsidTr="00F10F05">
        <w:tc>
          <w:tcPr>
            <w:tcW w:w="10598" w:type="dxa"/>
            <w:shd w:val="clear" w:color="auto" w:fill="E6007E"/>
          </w:tcPr>
          <w:p w:rsidR="00C53BB3" w:rsidRPr="00D94B75" w:rsidRDefault="00712438" w:rsidP="00B44F4F">
            <w:pPr>
              <w:rPr>
                <w:rFonts w:ascii="Arial" w:hAnsi="Arial"/>
                <w:b/>
                <w:color w:val="FFFFFF" w:themeColor="background1"/>
                <w:sz w:val="28"/>
              </w:rPr>
            </w:pPr>
            <w:r>
              <w:rPr>
                <w:rFonts w:ascii="Arial" w:hAnsi="Arial"/>
                <w:b/>
                <w:color w:val="FFFFFF" w:themeColor="background1"/>
                <w:sz w:val="28"/>
              </w:rPr>
              <w:lastRenderedPageBreak/>
              <w:t>Application Guidance</w:t>
            </w:r>
            <w:r w:rsidR="00C53BB3" w:rsidRPr="00D94B75">
              <w:rPr>
                <w:rFonts w:ascii="Arial" w:hAnsi="Arial"/>
                <w:b/>
                <w:color w:val="FFFFFF" w:themeColor="background1"/>
                <w:sz w:val="28"/>
              </w:rPr>
              <w:t xml:space="preserve">  </w:t>
            </w:r>
          </w:p>
        </w:tc>
        <w:tc>
          <w:tcPr>
            <w:tcW w:w="277" w:type="dxa"/>
          </w:tcPr>
          <w:p w:rsidR="00C53BB3" w:rsidRPr="00CC473C" w:rsidRDefault="00C53BB3" w:rsidP="00B44F4F">
            <w:pPr>
              <w:rPr>
                <w:rFonts w:ascii="Arial" w:hAnsi="Arial"/>
              </w:rPr>
            </w:pPr>
          </w:p>
        </w:tc>
        <w:tc>
          <w:tcPr>
            <w:tcW w:w="5046" w:type="dxa"/>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tcPr>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85"/>
            </w:tblGrid>
            <w:tr w:rsidR="00712438" w:rsidRPr="00CC473C" w:rsidTr="00712438">
              <w:trPr>
                <w:cantSplit/>
                <w:trHeight w:hRule="exact" w:val="4990"/>
              </w:trPr>
              <w:tc>
                <w:tcPr>
                  <w:tcW w:w="10485" w:type="dxa"/>
                </w:tcPr>
                <w:p w:rsidR="00712438" w:rsidRPr="00CC473C" w:rsidRDefault="00712438" w:rsidP="00712438">
                  <w:pPr>
                    <w:jc w:val="both"/>
                    <w:rPr>
                      <w:rFonts w:ascii="Arial" w:hAnsi="Arial"/>
                    </w:rPr>
                  </w:pPr>
                  <w:r w:rsidRPr="00CC473C">
                    <w:rPr>
                      <w:rFonts w:ascii="Arial" w:hAnsi="Arial"/>
                    </w:rPr>
                    <w:t>We are a values based organisation so reflecting our values or a values based approach in your evidence will support your application.</w:t>
                  </w:r>
                </w:p>
                <w:p w:rsidR="00712438" w:rsidRPr="00CC473C" w:rsidRDefault="00712438" w:rsidP="00712438">
                  <w:pPr>
                    <w:jc w:val="both"/>
                    <w:rPr>
                      <w:rFonts w:ascii="Arial" w:hAnsi="Arial"/>
                    </w:rPr>
                  </w:pPr>
                </w:p>
                <w:p w:rsidR="00712438" w:rsidRDefault="00712438" w:rsidP="00712438">
                  <w:pPr>
                    <w:jc w:val="both"/>
                    <w:rPr>
                      <w:rFonts w:ascii="Arial" w:hAnsi="Arial"/>
                    </w:rPr>
                  </w:pPr>
                  <w:r w:rsidRPr="00CC473C">
                    <w:rPr>
                      <w:rFonts w:ascii="Arial" w:hAnsi="Arial"/>
                    </w:rPr>
                    <w:t xml:space="preserve">The ‘Key outcomes’, ‘What we need from you’ and ‘our leadership behaviours’ sections of the Role Profile are there to give you an understanding of what we would like to see reflected in your application. Don’t give up if you are not able to reflect all of these in your application. </w:t>
                  </w:r>
                </w:p>
                <w:p w:rsidR="00712438" w:rsidRDefault="00712438" w:rsidP="00712438">
                  <w:pPr>
                    <w:tabs>
                      <w:tab w:val="left" w:pos="4428"/>
                    </w:tabs>
                    <w:jc w:val="both"/>
                    <w:rPr>
                      <w:rFonts w:ascii="Arial" w:hAnsi="Arial"/>
                      <w:b/>
                    </w:rPr>
                  </w:pPr>
                </w:p>
                <w:sdt>
                  <w:sdtPr>
                    <w:rPr>
                      <w:rFonts w:ascii="Arial" w:hAnsi="Arial"/>
                      <w:b/>
                    </w:rPr>
                    <w:id w:val="4512594"/>
                    <w:placeholder>
                      <w:docPart w:val="DefaultPlaceholder_22675703"/>
                    </w:placeholder>
                  </w:sdtPr>
                  <w:sdtContent>
                    <w:p w:rsidR="00712438" w:rsidRPr="00712438" w:rsidRDefault="00D63F6F" w:rsidP="00D63F6F">
                      <w:pPr>
                        <w:tabs>
                          <w:tab w:val="left" w:pos="4428"/>
                        </w:tabs>
                        <w:jc w:val="both"/>
                        <w:rPr>
                          <w:rFonts w:ascii="Arial" w:hAnsi="Arial"/>
                          <w:b/>
                        </w:rPr>
                      </w:pPr>
                      <w:r>
                        <w:rPr>
                          <w:rFonts w:ascii="Arial" w:hAnsi="Arial"/>
                          <w:b/>
                        </w:rPr>
                        <w:t xml:space="preserve"> </w:t>
                      </w:r>
                    </w:p>
                  </w:sdtContent>
                </w:sdt>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vAlign w:val="center"/>
          </w:tcPr>
          <w:p w:rsidR="00C53BB3" w:rsidRPr="00CC473C" w:rsidRDefault="00C53BB3" w:rsidP="006931D5">
            <w:pPr>
              <w:jc w:val="center"/>
              <w:rPr>
                <w:rFonts w:ascii="Arial" w:hAnsi="Arial"/>
                <w:noProof/>
                <w:lang w:eastAsia="en-GB"/>
              </w:rPr>
            </w:pPr>
          </w:p>
          <w:p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rsidR="00D24D32" w:rsidRPr="00CC473C" w:rsidRDefault="00D24D32" w:rsidP="00712438">
      <w:pPr>
        <w:rPr>
          <w:rFonts w:ascii="Arial" w:hAnsi="Arial"/>
        </w:rPr>
      </w:pPr>
    </w:p>
    <w:sectPr w:rsidR="00D24D32" w:rsidRPr="00CC473C" w:rsidSect="00712438">
      <w:pgSz w:w="16838" w:h="11906" w:orient="landscape"/>
      <w:pgMar w:top="567" w:right="567" w:bottom="244" w:left="567"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4C3" w:rsidRDefault="003B74C3" w:rsidP="00C84CCD">
      <w:pPr>
        <w:spacing w:after="0" w:line="240" w:lineRule="auto"/>
      </w:pPr>
      <w:r>
        <w:separator/>
      </w:r>
    </w:p>
  </w:endnote>
  <w:endnote w:type="continuationSeparator" w:id="0">
    <w:p w:rsidR="003B74C3" w:rsidRDefault="003B74C3" w:rsidP="00C84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4C3" w:rsidRDefault="003B74C3" w:rsidP="00C84CCD">
      <w:pPr>
        <w:spacing w:after="0" w:line="240" w:lineRule="auto"/>
      </w:pPr>
      <w:r>
        <w:separator/>
      </w:r>
    </w:p>
  </w:footnote>
  <w:footnote w:type="continuationSeparator" w:id="0">
    <w:p w:rsidR="003B74C3" w:rsidRDefault="003B74C3" w:rsidP="00C84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38" w:rsidRDefault="00E9214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38" w:rsidRDefault="00E9214E"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38" w:rsidRDefault="00E9214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9">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12"/>
  </w:num>
  <w:num w:numId="5">
    <w:abstractNumId w:val="1"/>
  </w:num>
  <w:num w:numId="6">
    <w:abstractNumId w:val="7"/>
  </w:num>
  <w:num w:numId="7">
    <w:abstractNumId w:val="9"/>
  </w:num>
  <w:num w:numId="8">
    <w:abstractNumId w:val="4"/>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8"/>
  </w:num>
  <w:num w:numId="12">
    <w:abstractNumId w:val="11"/>
  </w:num>
  <w:num w:numId="13">
    <w:abstractNumId w:val="3"/>
  </w:num>
  <w:num w:numId="14">
    <w:abstractNumId w:val="14"/>
  </w:num>
  <w:num w:numId="15">
    <w:abstractNumId w:val="15"/>
  </w:num>
  <w:num w:numId="16">
    <w:abstractNumId w:val="2"/>
  </w:num>
  <w:num w:numId="17">
    <w:abstractNumId w:val="17"/>
  </w:num>
  <w:num w:numId="18">
    <w:abstractNumId w:val="19"/>
  </w:num>
  <w:num w:numId="19">
    <w:abstractNumId w:val="0"/>
  </w:num>
  <w:num w:numId="20">
    <w:abstractNumId w:val="6"/>
  </w:num>
  <w:num w:numId="21">
    <w:abstractNumId w:val="8"/>
  </w:num>
  <w:num w:numId="22">
    <w:abstractNumId w:val="16"/>
  </w:num>
  <w:num w:numId="23">
    <w:abstractNumId w:val="2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C84CCD"/>
    <w:rsid w:val="00002258"/>
    <w:rsid w:val="000025BB"/>
    <w:rsid w:val="00002C26"/>
    <w:rsid w:val="00005235"/>
    <w:rsid w:val="0000526E"/>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1973"/>
    <w:rsid w:val="00073BDC"/>
    <w:rsid w:val="00073D8D"/>
    <w:rsid w:val="0007659C"/>
    <w:rsid w:val="000767FC"/>
    <w:rsid w:val="00080160"/>
    <w:rsid w:val="00081DAF"/>
    <w:rsid w:val="00081FB3"/>
    <w:rsid w:val="00084AB6"/>
    <w:rsid w:val="000860B9"/>
    <w:rsid w:val="00086248"/>
    <w:rsid w:val="00086571"/>
    <w:rsid w:val="00087AB3"/>
    <w:rsid w:val="0009175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04234"/>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366D"/>
    <w:rsid w:val="00164705"/>
    <w:rsid w:val="00165536"/>
    <w:rsid w:val="00166449"/>
    <w:rsid w:val="0016661E"/>
    <w:rsid w:val="00170389"/>
    <w:rsid w:val="00170DA6"/>
    <w:rsid w:val="0017320F"/>
    <w:rsid w:val="00175D57"/>
    <w:rsid w:val="0017651F"/>
    <w:rsid w:val="0018083D"/>
    <w:rsid w:val="00180D1D"/>
    <w:rsid w:val="00181A52"/>
    <w:rsid w:val="00181C7A"/>
    <w:rsid w:val="00182A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6D6"/>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19E5"/>
    <w:rsid w:val="003528A6"/>
    <w:rsid w:val="00352965"/>
    <w:rsid w:val="003552A8"/>
    <w:rsid w:val="003552F4"/>
    <w:rsid w:val="00356BBF"/>
    <w:rsid w:val="0035732F"/>
    <w:rsid w:val="00360B22"/>
    <w:rsid w:val="003611CB"/>
    <w:rsid w:val="0036410B"/>
    <w:rsid w:val="003643E2"/>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B61F9"/>
    <w:rsid w:val="003B74C3"/>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3AA1"/>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D0028"/>
    <w:rsid w:val="004D070B"/>
    <w:rsid w:val="004D18A9"/>
    <w:rsid w:val="004D2FEE"/>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1189"/>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174A6"/>
    <w:rsid w:val="00622826"/>
    <w:rsid w:val="00622E66"/>
    <w:rsid w:val="00623906"/>
    <w:rsid w:val="0062398C"/>
    <w:rsid w:val="00624CBD"/>
    <w:rsid w:val="006255B0"/>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438"/>
    <w:rsid w:val="00712CFC"/>
    <w:rsid w:val="00714883"/>
    <w:rsid w:val="00717873"/>
    <w:rsid w:val="00722046"/>
    <w:rsid w:val="007229FA"/>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322C"/>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419"/>
    <w:rsid w:val="008A0BF6"/>
    <w:rsid w:val="008A12F1"/>
    <w:rsid w:val="008A58C6"/>
    <w:rsid w:val="008A6929"/>
    <w:rsid w:val="008A6C6A"/>
    <w:rsid w:val="008B110D"/>
    <w:rsid w:val="008B2B14"/>
    <w:rsid w:val="008B514A"/>
    <w:rsid w:val="008C1E81"/>
    <w:rsid w:val="008C2B7B"/>
    <w:rsid w:val="008C4FC7"/>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746"/>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B1D"/>
    <w:rsid w:val="00AC6D60"/>
    <w:rsid w:val="00AD257B"/>
    <w:rsid w:val="00AD3F66"/>
    <w:rsid w:val="00AD4C29"/>
    <w:rsid w:val="00AD5D86"/>
    <w:rsid w:val="00AD6D74"/>
    <w:rsid w:val="00AD744B"/>
    <w:rsid w:val="00AE0059"/>
    <w:rsid w:val="00AE1DB2"/>
    <w:rsid w:val="00AE3C16"/>
    <w:rsid w:val="00AF0A05"/>
    <w:rsid w:val="00AF232B"/>
    <w:rsid w:val="00AF2F56"/>
    <w:rsid w:val="00AF3573"/>
    <w:rsid w:val="00AF7CC5"/>
    <w:rsid w:val="00B012B8"/>
    <w:rsid w:val="00B04936"/>
    <w:rsid w:val="00B049BB"/>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5CF"/>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125A"/>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5C66"/>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2E5A"/>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0FD4"/>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5BAD"/>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3F6F"/>
    <w:rsid w:val="00D64799"/>
    <w:rsid w:val="00D71508"/>
    <w:rsid w:val="00D718B4"/>
    <w:rsid w:val="00D73873"/>
    <w:rsid w:val="00D74757"/>
    <w:rsid w:val="00D748DB"/>
    <w:rsid w:val="00D76056"/>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161"/>
    <w:rsid w:val="00E758EC"/>
    <w:rsid w:val="00E77596"/>
    <w:rsid w:val="00E8072D"/>
    <w:rsid w:val="00E83120"/>
    <w:rsid w:val="00E83907"/>
    <w:rsid w:val="00E83CC5"/>
    <w:rsid w:val="00E85DFB"/>
    <w:rsid w:val="00E867B2"/>
    <w:rsid w:val="00E8696C"/>
    <w:rsid w:val="00E87C11"/>
    <w:rsid w:val="00E90ABE"/>
    <w:rsid w:val="00E92027"/>
    <w:rsid w:val="00E9214E"/>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757F7"/>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2707"/>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5C1189"/>
    <w:rPr>
      <w:color w:val="808080"/>
    </w:rPr>
  </w:style>
</w:styles>
</file>

<file path=word/webSettings.xml><?xml version="1.0" encoding="utf-8"?>
<w:webSettings xmlns:r="http://schemas.openxmlformats.org/officeDocument/2006/relationships" xmlns:w="http://schemas.openxmlformats.org/wordprocessingml/2006/main">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yperlink" Target="https://www.salford.gov.uk/ourval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076F3D1-483F-430E-A36D-CFFCA1B60830}"/>
      </w:docPartPr>
      <w:docPartBody>
        <w:p w:rsidR="00CC6440" w:rsidRDefault="000C6925">
          <w:r w:rsidRPr="002275FB">
            <w:rPr>
              <w:rStyle w:val="PlaceholderText"/>
            </w:rPr>
            <w:t>Click here to enter text.</w:t>
          </w:r>
        </w:p>
      </w:docPartBody>
    </w:docPart>
    <w:docPart>
      <w:docPartPr>
        <w:name w:val="640B4DA27BB04D1580C50F87BA485954"/>
        <w:category>
          <w:name w:val="General"/>
          <w:gallery w:val="placeholder"/>
        </w:category>
        <w:types>
          <w:type w:val="bbPlcHdr"/>
        </w:types>
        <w:behaviors>
          <w:behavior w:val="content"/>
        </w:behaviors>
        <w:guid w:val="{DA9530A9-0FBC-470C-8C00-BD797700599F}"/>
      </w:docPartPr>
      <w:docPartBody>
        <w:p w:rsidR="00185A34" w:rsidRDefault="0093139E" w:rsidP="0093139E">
          <w:pPr>
            <w:pStyle w:val="640B4DA27BB04D1580C50F87BA485954"/>
          </w:pPr>
          <w:r w:rsidRPr="002275F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0C6925"/>
    <w:rsid w:val="000C6925"/>
    <w:rsid w:val="00185A34"/>
    <w:rsid w:val="0093139E"/>
    <w:rsid w:val="009A48CF"/>
    <w:rsid w:val="00CC64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39E"/>
    <w:rPr>
      <w:color w:val="808080"/>
    </w:rPr>
  </w:style>
  <w:style w:type="paragraph" w:customStyle="1" w:styleId="D64AAE1E6A1A4E4AA198F3171D1B84FC">
    <w:name w:val="D64AAE1E6A1A4E4AA198F3171D1B84FC"/>
    <w:rsid w:val="0093139E"/>
    <w:pPr>
      <w:spacing w:after="160" w:line="259" w:lineRule="auto"/>
    </w:pPr>
  </w:style>
  <w:style w:type="paragraph" w:customStyle="1" w:styleId="640B4DA27BB04D1580C50F87BA485954">
    <w:name w:val="640B4DA27BB04D1580C50F87BA485954"/>
    <w:rsid w:val="0093139E"/>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3FEDC-FB3D-4C24-828C-9E3048C0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georgiana.matoianu</cp:lastModifiedBy>
  <cp:revision>6</cp:revision>
  <cp:lastPrinted>2019-02-21T13:53:00Z</cp:lastPrinted>
  <dcterms:created xsi:type="dcterms:W3CDTF">2019-02-21T13:48:00Z</dcterms:created>
  <dcterms:modified xsi:type="dcterms:W3CDTF">2019-03-05T17:31:00Z</dcterms:modified>
</cp:coreProperties>
</file>