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7EC" w:rsidRDefault="008A27EC" w:rsidP="008A27EC"/>
    <w:p w:rsidR="008A27EC" w:rsidRDefault="008A27EC" w:rsidP="008A27EC">
      <w:pPr>
        <w:ind w:left="-142" w:right="-327"/>
        <w:rPr>
          <w:noProof/>
        </w:rPr>
      </w:pPr>
      <w:r>
        <w:rPr>
          <w:noProof/>
          <w:lang w:eastAsia="en-GB"/>
        </w:rPr>
        <w:drawing>
          <wp:anchor distT="0" distB="0" distL="114300" distR="114300" simplePos="0" relativeHeight="251660288" behindDoc="0" locked="1" layoutInCell="1" allowOverlap="1">
            <wp:simplePos x="0" y="0"/>
            <wp:positionH relativeFrom="column">
              <wp:posOffset>-213995</wp:posOffset>
            </wp:positionH>
            <wp:positionV relativeFrom="paragraph">
              <wp:posOffset>-340360</wp:posOffset>
            </wp:positionV>
            <wp:extent cx="6515100" cy="522605"/>
            <wp:effectExtent l="19050" t="0" r="0" b="0"/>
            <wp:wrapNone/>
            <wp:docPr id="2" name="Picture 2" descr="j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d_header"/>
                    <pic:cNvPicPr>
                      <a:picLocks noChangeAspect="1" noChangeArrowheads="1"/>
                    </pic:cNvPicPr>
                  </pic:nvPicPr>
                  <pic:blipFill>
                    <a:blip r:embed="rId8" cstate="print"/>
                    <a:srcRect/>
                    <a:stretch>
                      <a:fillRect/>
                    </a:stretch>
                  </pic:blipFill>
                  <pic:spPr bwMode="auto">
                    <a:xfrm>
                      <a:off x="0" y="0"/>
                      <a:ext cx="6515100" cy="522605"/>
                    </a:xfrm>
                    <a:prstGeom prst="rect">
                      <a:avLst/>
                    </a:prstGeom>
                    <a:noFill/>
                    <a:ln w="9525">
                      <a:noFill/>
                      <a:miter lim="800000"/>
                      <a:headEnd/>
                      <a:tailEnd/>
                    </a:ln>
                  </pic:spPr>
                </pic:pic>
              </a:graphicData>
            </a:graphic>
          </wp:anchor>
        </w:drawing>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03"/>
        <w:gridCol w:w="2268"/>
        <w:gridCol w:w="1821"/>
        <w:gridCol w:w="3968"/>
      </w:tblGrid>
      <w:tr w:rsidR="008A27EC" w:rsidTr="001627AF">
        <w:trPr>
          <w:trHeight w:val="410"/>
        </w:trPr>
        <w:tc>
          <w:tcPr>
            <w:tcW w:w="2203" w:type="dxa"/>
            <w:vAlign w:val="center"/>
          </w:tcPr>
          <w:p w:rsidR="008A27EC" w:rsidRDefault="008A27EC" w:rsidP="001627AF">
            <w:pPr>
              <w:pStyle w:val="Heading2"/>
              <w:ind w:left="142"/>
              <w:rPr>
                <w:rFonts w:ascii="Arial" w:hAnsi="Arial"/>
                <w:noProof/>
                <w:sz w:val="24"/>
              </w:rPr>
            </w:pPr>
            <w:r>
              <w:rPr>
                <w:rFonts w:ascii="Arial" w:hAnsi="Arial"/>
                <w:sz w:val="24"/>
              </w:rPr>
              <w:t>Directorate:</w:t>
            </w:r>
          </w:p>
        </w:tc>
        <w:tc>
          <w:tcPr>
            <w:tcW w:w="2268" w:type="dxa"/>
            <w:vAlign w:val="center"/>
          </w:tcPr>
          <w:p w:rsidR="008A27EC" w:rsidRPr="001627AF" w:rsidRDefault="008A27EC" w:rsidP="001627AF">
            <w:pPr>
              <w:spacing w:before="120"/>
              <w:rPr>
                <w:rFonts w:ascii="Arial" w:hAnsi="Arial" w:cs="Arial"/>
                <w:noProof/>
              </w:rPr>
            </w:pPr>
            <w:r w:rsidRPr="001627AF">
              <w:rPr>
                <w:rFonts w:ascii="Arial" w:hAnsi="Arial" w:cs="Arial"/>
                <w:noProof/>
              </w:rPr>
              <w:t>Children’s Services</w:t>
            </w:r>
          </w:p>
        </w:tc>
        <w:tc>
          <w:tcPr>
            <w:tcW w:w="1821" w:type="dxa"/>
            <w:vAlign w:val="center"/>
          </w:tcPr>
          <w:p w:rsidR="008A27EC" w:rsidRPr="001627AF" w:rsidRDefault="008A27EC" w:rsidP="001627AF">
            <w:pPr>
              <w:spacing w:before="120"/>
              <w:ind w:left="142"/>
              <w:rPr>
                <w:rFonts w:ascii="Arial" w:hAnsi="Arial" w:cs="Arial"/>
                <w:noProof/>
              </w:rPr>
            </w:pPr>
            <w:r w:rsidRPr="001627AF">
              <w:rPr>
                <w:rFonts w:ascii="Arial" w:hAnsi="Arial" w:cs="Arial"/>
                <w:b/>
              </w:rPr>
              <w:t>Section</w:t>
            </w:r>
            <w:r w:rsidRPr="001627AF">
              <w:rPr>
                <w:rFonts w:ascii="Arial" w:hAnsi="Arial" w:cs="Arial"/>
              </w:rPr>
              <w:t>:</w:t>
            </w:r>
          </w:p>
        </w:tc>
        <w:tc>
          <w:tcPr>
            <w:tcW w:w="3968" w:type="dxa"/>
            <w:vAlign w:val="center"/>
          </w:tcPr>
          <w:p w:rsidR="008A27EC" w:rsidRPr="001627AF" w:rsidRDefault="008A27EC" w:rsidP="001627AF">
            <w:pPr>
              <w:spacing w:before="120"/>
              <w:rPr>
                <w:rFonts w:ascii="Arial" w:hAnsi="Arial" w:cs="Arial"/>
                <w:noProof/>
              </w:rPr>
            </w:pPr>
            <w:r w:rsidRPr="001627AF">
              <w:rPr>
                <w:rFonts w:ascii="Arial" w:hAnsi="Arial" w:cs="Arial"/>
                <w:noProof/>
              </w:rPr>
              <w:t>Integrated Commissioning Unit</w:t>
            </w:r>
          </w:p>
        </w:tc>
      </w:tr>
    </w:tbl>
    <w:p w:rsidR="008A27EC" w:rsidRDefault="008A27EC" w:rsidP="008A27EC">
      <w:pPr>
        <w:shd w:val="clear" w:color="00FF00" w:fill="auto"/>
        <w:ind w:left="142" w:right="-327"/>
      </w:pPr>
    </w:p>
    <w:tbl>
      <w:tblPr>
        <w:tblW w:w="10260" w:type="dxa"/>
        <w:tblInd w:w="-252" w:type="dxa"/>
        <w:tblBorders>
          <w:top w:val="single" w:sz="4" w:space="0" w:color="auto"/>
          <w:left w:val="single" w:sz="4" w:space="0" w:color="auto"/>
          <w:bottom w:val="single" w:sz="4" w:space="0" w:color="auto"/>
          <w:right w:val="single" w:sz="4" w:space="0" w:color="auto"/>
        </w:tblBorders>
        <w:tblLayout w:type="fixed"/>
        <w:tblLook w:val="0000"/>
      </w:tblPr>
      <w:tblGrid>
        <w:gridCol w:w="4188"/>
        <w:gridCol w:w="6072"/>
      </w:tblGrid>
      <w:tr w:rsidR="008A27EC" w:rsidRPr="001627AF" w:rsidTr="001627AF">
        <w:trPr>
          <w:trHeight w:val="523"/>
        </w:trPr>
        <w:tc>
          <w:tcPr>
            <w:tcW w:w="4188" w:type="dxa"/>
            <w:vAlign w:val="center"/>
          </w:tcPr>
          <w:p w:rsidR="008A27EC" w:rsidRPr="001627AF" w:rsidRDefault="008A27EC" w:rsidP="001627AF">
            <w:pPr>
              <w:pStyle w:val="Heading7"/>
              <w:spacing w:before="120" w:after="120"/>
              <w:rPr>
                <w:rFonts w:ascii="Arial" w:hAnsi="Arial" w:cs="Arial"/>
                <w:sz w:val="22"/>
                <w:szCs w:val="22"/>
              </w:rPr>
            </w:pPr>
            <w:r w:rsidRPr="001627AF">
              <w:rPr>
                <w:rFonts w:ascii="Arial" w:hAnsi="Arial" w:cs="Arial"/>
                <w:sz w:val="22"/>
                <w:szCs w:val="22"/>
              </w:rPr>
              <w:t>Job details</w:t>
            </w:r>
          </w:p>
        </w:tc>
        <w:tc>
          <w:tcPr>
            <w:tcW w:w="6072" w:type="dxa"/>
            <w:vAlign w:val="center"/>
          </w:tcPr>
          <w:p w:rsidR="008A27EC" w:rsidRPr="001627AF" w:rsidRDefault="008A27EC" w:rsidP="001627AF">
            <w:pPr>
              <w:pStyle w:val="Heading1"/>
              <w:spacing w:before="120" w:after="120"/>
              <w:rPr>
                <w:rFonts w:cs="Arial"/>
                <w:b w:val="0"/>
                <w:sz w:val="22"/>
                <w:szCs w:val="22"/>
              </w:rPr>
            </w:pPr>
          </w:p>
        </w:tc>
      </w:tr>
      <w:tr w:rsidR="008A27EC" w:rsidRPr="001627AF" w:rsidTr="001627AF">
        <w:trPr>
          <w:trHeight w:val="523"/>
        </w:trPr>
        <w:tc>
          <w:tcPr>
            <w:tcW w:w="4188" w:type="dxa"/>
            <w:vAlign w:val="center"/>
          </w:tcPr>
          <w:p w:rsidR="008A27EC" w:rsidRPr="001627AF" w:rsidRDefault="008A27EC" w:rsidP="001627AF">
            <w:pPr>
              <w:spacing w:before="120" w:after="120"/>
              <w:rPr>
                <w:rFonts w:ascii="Arial" w:hAnsi="Arial" w:cs="Arial"/>
                <w:b/>
              </w:rPr>
            </w:pPr>
            <w:r w:rsidRPr="001627AF">
              <w:rPr>
                <w:rFonts w:ascii="Arial" w:hAnsi="Arial" w:cs="Arial"/>
                <w:b/>
              </w:rPr>
              <w:t>Job title:</w:t>
            </w:r>
          </w:p>
        </w:tc>
        <w:tc>
          <w:tcPr>
            <w:tcW w:w="6072" w:type="dxa"/>
            <w:vAlign w:val="center"/>
          </w:tcPr>
          <w:p w:rsidR="008A27EC" w:rsidRPr="001627AF" w:rsidRDefault="008A27EC" w:rsidP="001627AF">
            <w:pPr>
              <w:pStyle w:val="Heading1"/>
              <w:spacing w:before="120" w:after="120"/>
              <w:rPr>
                <w:rFonts w:cs="Arial"/>
                <w:b w:val="0"/>
                <w:sz w:val="22"/>
                <w:szCs w:val="22"/>
              </w:rPr>
            </w:pPr>
            <w:r w:rsidRPr="001627AF">
              <w:rPr>
                <w:rFonts w:cs="Arial"/>
                <w:b w:val="0"/>
                <w:sz w:val="22"/>
                <w:szCs w:val="22"/>
              </w:rPr>
              <w:t>Information and Monitoring Officer</w:t>
            </w:r>
          </w:p>
        </w:tc>
      </w:tr>
      <w:tr w:rsidR="008A27EC" w:rsidRPr="001627AF" w:rsidTr="001627AF">
        <w:trPr>
          <w:trHeight w:val="523"/>
        </w:trPr>
        <w:tc>
          <w:tcPr>
            <w:tcW w:w="4188" w:type="dxa"/>
            <w:vAlign w:val="center"/>
          </w:tcPr>
          <w:p w:rsidR="008A27EC" w:rsidRPr="001627AF" w:rsidRDefault="008A27EC" w:rsidP="001627AF">
            <w:pPr>
              <w:spacing w:before="120" w:after="120"/>
              <w:rPr>
                <w:rFonts w:ascii="Arial" w:hAnsi="Arial" w:cs="Arial"/>
                <w:b/>
              </w:rPr>
            </w:pPr>
            <w:r w:rsidRPr="001627AF">
              <w:rPr>
                <w:rFonts w:ascii="Arial" w:hAnsi="Arial" w:cs="Arial"/>
                <w:b/>
              </w:rPr>
              <w:t>Grade:</w:t>
            </w:r>
          </w:p>
        </w:tc>
        <w:tc>
          <w:tcPr>
            <w:tcW w:w="6072" w:type="dxa"/>
            <w:vAlign w:val="center"/>
          </w:tcPr>
          <w:p w:rsidR="008A27EC" w:rsidRPr="001627AF" w:rsidRDefault="00964FDC" w:rsidP="001627AF">
            <w:pPr>
              <w:pStyle w:val="Heading1"/>
              <w:spacing w:before="120" w:after="120"/>
              <w:rPr>
                <w:rFonts w:cs="Arial"/>
                <w:b w:val="0"/>
                <w:sz w:val="22"/>
                <w:szCs w:val="22"/>
              </w:rPr>
            </w:pPr>
            <w:r w:rsidRPr="001627AF">
              <w:rPr>
                <w:rFonts w:cs="Arial"/>
                <w:b w:val="0"/>
                <w:sz w:val="22"/>
                <w:szCs w:val="22"/>
              </w:rPr>
              <w:t>3A</w:t>
            </w:r>
            <w:r w:rsidR="008A27EC" w:rsidRPr="001627AF">
              <w:rPr>
                <w:rFonts w:cs="Arial"/>
                <w:b w:val="0"/>
                <w:sz w:val="22"/>
                <w:szCs w:val="22"/>
              </w:rPr>
              <w:t xml:space="preserve"> </w:t>
            </w:r>
          </w:p>
        </w:tc>
      </w:tr>
      <w:tr w:rsidR="008A27EC" w:rsidRPr="001627AF" w:rsidTr="001627AF">
        <w:trPr>
          <w:trHeight w:val="523"/>
        </w:trPr>
        <w:tc>
          <w:tcPr>
            <w:tcW w:w="4188" w:type="dxa"/>
            <w:vAlign w:val="center"/>
          </w:tcPr>
          <w:p w:rsidR="008A27EC" w:rsidRPr="001627AF" w:rsidRDefault="008A27EC" w:rsidP="001627AF">
            <w:pPr>
              <w:spacing w:before="120" w:after="120"/>
              <w:rPr>
                <w:rFonts w:ascii="Arial" w:hAnsi="Arial" w:cs="Arial"/>
                <w:b/>
              </w:rPr>
            </w:pPr>
            <w:r w:rsidRPr="001627AF">
              <w:rPr>
                <w:rFonts w:ascii="Arial" w:hAnsi="Arial" w:cs="Arial"/>
                <w:b/>
              </w:rPr>
              <w:t>Location of work:</w:t>
            </w:r>
          </w:p>
        </w:tc>
        <w:tc>
          <w:tcPr>
            <w:tcW w:w="6072" w:type="dxa"/>
            <w:vAlign w:val="center"/>
          </w:tcPr>
          <w:p w:rsidR="008A27EC" w:rsidRPr="001627AF" w:rsidRDefault="008A27EC" w:rsidP="001627AF">
            <w:pPr>
              <w:pStyle w:val="Heading1"/>
              <w:spacing w:before="120" w:after="120"/>
              <w:rPr>
                <w:rFonts w:cs="Arial"/>
                <w:b w:val="0"/>
                <w:sz w:val="22"/>
                <w:szCs w:val="22"/>
              </w:rPr>
            </w:pPr>
            <w:r w:rsidRPr="001627AF">
              <w:rPr>
                <w:rFonts w:cs="Arial"/>
                <w:b w:val="0"/>
                <w:sz w:val="22"/>
                <w:szCs w:val="22"/>
              </w:rPr>
              <w:t>Civic Centre</w:t>
            </w:r>
          </w:p>
        </w:tc>
      </w:tr>
      <w:tr w:rsidR="008A27EC" w:rsidRPr="001627AF" w:rsidTr="001627AF">
        <w:trPr>
          <w:trHeight w:val="523"/>
        </w:trPr>
        <w:tc>
          <w:tcPr>
            <w:tcW w:w="4188" w:type="dxa"/>
            <w:vAlign w:val="center"/>
          </w:tcPr>
          <w:p w:rsidR="008A27EC" w:rsidRPr="001627AF" w:rsidRDefault="008A27EC" w:rsidP="001627AF">
            <w:pPr>
              <w:spacing w:before="120" w:after="120"/>
              <w:rPr>
                <w:rFonts w:ascii="Arial" w:hAnsi="Arial" w:cs="Arial"/>
                <w:b/>
              </w:rPr>
            </w:pPr>
            <w:r w:rsidRPr="001627AF">
              <w:rPr>
                <w:rFonts w:ascii="Arial" w:hAnsi="Arial" w:cs="Arial"/>
                <w:b/>
              </w:rPr>
              <w:t>Directly responsible to:</w:t>
            </w:r>
          </w:p>
        </w:tc>
        <w:tc>
          <w:tcPr>
            <w:tcW w:w="6072" w:type="dxa"/>
            <w:vAlign w:val="center"/>
          </w:tcPr>
          <w:p w:rsidR="008A27EC" w:rsidRPr="001627AF" w:rsidRDefault="001627AF" w:rsidP="001627AF">
            <w:pPr>
              <w:pStyle w:val="Heading1"/>
              <w:spacing w:before="120" w:after="120"/>
              <w:rPr>
                <w:rFonts w:cs="Arial"/>
                <w:b w:val="0"/>
                <w:sz w:val="22"/>
                <w:szCs w:val="22"/>
              </w:rPr>
            </w:pPr>
            <w:r w:rsidRPr="001627AF">
              <w:rPr>
                <w:rFonts w:cs="Arial"/>
                <w:b w:val="0"/>
                <w:sz w:val="22"/>
                <w:szCs w:val="22"/>
              </w:rPr>
              <w:t>Information and Monitoring</w:t>
            </w:r>
            <w:r w:rsidR="008A27EC" w:rsidRPr="001627AF">
              <w:rPr>
                <w:rFonts w:cs="Arial"/>
                <w:b w:val="0"/>
                <w:sz w:val="22"/>
                <w:szCs w:val="22"/>
              </w:rPr>
              <w:t xml:space="preserve"> Manager</w:t>
            </w:r>
          </w:p>
        </w:tc>
      </w:tr>
      <w:tr w:rsidR="008A27EC" w:rsidRPr="001627AF" w:rsidTr="001627AF">
        <w:trPr>
          <w:trHeight w:val="523"/>
        </w:trPr>
        <w:tc>
          <w:tcPr>
            <w:tcW w:w="4188" w:type="dxa"/>
            <w:vAlign w:val="center"/>
          </w:tcPr>
          <w:p w:rsidR="008A27EC" w:rsidRPr="001627AF" w:rsidRDefault="008A27EC" w:rsidP="001627AF">
            <w:pPr>
              <w:spacing w:before="120" w:after="120"/>
              <w:rPr>
                <w:rFonts w:ascii="Arial" w:hAnsi="Arial" w:cs="Arial"/>
                <w:b/>
              </w:rPr>
            </w:pPr>
            <w:r w:rsidRPr="001627AF">
              <w:rPr>
                <w:rFonts w:ascii="Arial" w:hAnsi="Arial" w:cs="Arial"/>
                <w:b/>
              </w:rPr>
              <w:t>Directly responsible for:</w:t>
            </w:r>
          </w:p>
        </w:tc>
        <w:tc>
          <w:tcPr>
            <w:tcW w:w="6072" w:type="dxa"/>
            <w:vAlign w:val="center"/>
          </w:tcPr>
          <w:p w:rsidR="008A27EC" w:rsidRPr="001627AF" w:rsidRDefault="008A27EC" w:rsidP="001627AF">
            <w:pPr>
              <w:pStyle w:val="Heading1"/>
              <w:spacing w:before="120" w:after="120"/>
              <w:rPr>
                <w:rFonts w:cs="Arial"/>
                <w:b w:val="0"/>
                <w:sz w:val="22"/>
                <w:szCs w:val="22"/>
              </w:rPr>
            </w:pPr>
            <w:r w:rsidRPr="001627AF">
              <w:rPr>
                <w:rFonts w:cs="Arial"/>
                <w:b w:val="0"/>
                <w:sz w:val="22"/>
                <w:szCs w:val="22"/>
              </w:rPr>
              <w:t>N/A</w:t>
            </w:r>
          </w:p>
        </w:tc>
      </w:tr>
      <w:tr w:rsidR="008A27EC" w:rsidRPr="001627AF" w:rsidTr="001627AF">
        <w:trPr>
          <w:trHeight w:val="523"/>
        </w:trPr>
        <w:tc>
          <w:tcPr>
            <w:tcW w:w="4188" w:type="dxa"/>
            <w:vAlign w:val="center"/>
          </w:tcPr>
          <w:p w:rsidR="008A27EC" w:rsidRPr="001627AF" w:rsidRDefault="008A27EC" w:rsidP="001627AF">
            <w:pPr>
              <w:spacing w:before="120" w:after="120"/>
              <w:rPr>
                <w:rFonts w:ascii="Arial" w:hAnsi="Arial" w:cs="Arial"/>
                <w:b/>
              </w:rPr>
            </w:pPr>
            <w:r w:rsidRPr="001627AF">
              <w:rPr>
                <w:rFonts w:ascii="Arial" w:hAnsi="Arial" w:cs="Arial"/>
                <w:b/>
              </w:rPr>
              <w:t>Hours of duty:</w:t>
            </w:r>
          </w:p>
        </w:tc>
        <w:tc>
          <w:tcPr>
            <w:tcW w:w="6072" w:type="dxa"/>
            <w:vAlign w:val="center"/>
          </w:tcPr>
          <w:p w:rsidR="008A27EC" w:rsidRPr="001627AF" w:rsidRDefault="008A27EC" w:rsidP="001627AF">
            <w:pPr>
              <w:pStyle w:val="Heading1"/>
              <w:spacing w:before="120" w:after="120"/>
              <w:rPr>
                <w:rFonts w:cs="Arial"/>
                <w:b w:val="0"/>
                <w:sz w:val="22"/>
                <w:szCs w:val="22"/>
              </w:rPr>
            </w:pPr>
            <w:r w:rsidRPr="001627AF">
              <w:rPr>
                <w:rFonts w:cs="Arial"/>
                <w:b w:val="0"/>
                <w:sz w:val="22"/>
                <w:szCs w:val="22"/>
              </w:rPr>
              <w:t>36 hours per week</w:t>
            </w:r>
          </w:p>
        </w:tc>
      </w:tr>
      <w:tr w:rsidR="008A27EC" w:rsidRPr="001627AF" w:rsidTr="001627AF">
        <w:trPr>
          <w:trHeight w:val="523"/>
        </w:trPr>
        <w:tc>
          <w:tcPr>
            <w:tcW w:w="4188" w:type="dxa"/>
          </w:tcPr>
          <w:p w:rsidR="008A27EC" w:rsidRPr="001627AF" w:rsidRDefault="008A27EC" w:rsidP="001627AF">
            <w:pPr>
              <w:spacing w:before="120" w:after="120"/>
              <w:rPr>
                <w:rFonts w:ascii="Arial" w:hAnsi="Arial" w:cs="Arial"/>
                <w:b/>
              </w:rPr>
            </w:pPr>
            <w:r w:rsidRPr="001627AF">
              <w:rPr>
                <w:rFonts w:ascii="Arial" w:hAnsi="Arial" w:cs="Arial"/>
                <w:b/>
              </w:rPr>
              <w:t>Primary purpose of the job:</w:t>
            </w:r>
          </w:p>
        </w:tc>
        <w:tc>
          <w:tcPr>
            <w:tcW w:w="6072" w:type="dxa"/>
            <w:vAlign w:val="center"/>
          </w:tcPr>
          <w:p w:rsidR="008A27EC" w:rsidRPr="001627AF" w:rsidRDefault="008A27EC" w:rsidP="008A27EC">
            <w:pPr>
              <w:pStyle w:val="Heading1"/>
              <w:numPr>
                <w:ilvl w:val="0"/>
                <w:numId w:val="1"/>
              </w:numPr>
              <w:spacing w:before="120" w:after="120"/>
              <w:jc w:val="both"/>
              <w:rPr>
                <w:rFonts w:cs="Arial"/>
                <w:b w:val="0"/>
                <w:sz w:val="22"/>
                <w:szCs w:val="22"/>
              </w:rPr>
            </w:pPr>
            <w:r w:rsidRPr="001627AF">
              <w:rPr>
                <w:rFonts w:cs="Arial"/>
                <w:b w:val="0"/>
                <w:sz w:val="22"/>
                <w:szCs w:val="22"/>
              </w:rPr>
              <w:t>To develop and maintain data collecting, inputting and analysis of systems which contribute towards performance management.</w:t>
            </w:r>
          </w:p>
          <w:p w:rsidR="008A27EC" w:rsidRPr="001627AF" w:rsidRDefault="008A27EC" w:rsidP="008A27EC">
            <w:pPr>
              <w:numPr>
                <w:ilvl w:val="0"/>
                <w:numId w:val="1"/>
              </w:numPr>
              <w:spacing w:before="60" w:after="60" w:line="240" w:lineRule="auto"/>
              <w:jc w:val="both"/>
              <w:rPr>
                <w:rFonts w:ascii="Arial" w:hAnsi="Arial" w:cs="Arial"/>
              </w:rPr>
            </w:pPr>
            <w:r w:rsidRPr="001627AF">
              <w:rPr>
                <w:rFonts w:ascii="Arial" w:hAnsi="Arial" w:cs="Arial"/>
              </w:rPr>
              <w:t>To develop and maintain financial monitoring and reporting systems.</w:t>
            </w:r>
          </w:p>
          <w:p w:rsidR="008A27EC" w:rsidRPr="001627AF" w:rsidRDefault="008A27EC" w:rsidP="008A27EC">
            <w:pPr>
              <w:numPr>
                <w:ilvl w:val="0"/>
                <w:numId w:val="1"/>
              </w:numPr>
              <w:spacing w:before="60" w:after="60" w:line="240" w:lineRule="auto"/>
              <w:jc w:val="both"/>
              <w:rPr>
                <w:rFonts w:ascii="Arial" w:hAnsi="Arial" w:cs="Arial"/>
              </w:rPr>
            </w:pPr>
            <w:r w:rsidRPr="001627AF">
              <w:rPr>
                <w:rFonts w:ascii="Arial" w:hAnsi="Arial" w:cs="Arial"/>
              </w:rPr>
              <w:t>To develop and maintain strong working relationships with providers offering support and guidance in relation to performance.</w:t>
            </w:r>
          </w:p>
          <w:p w:rsidR="008A27EC" w:rsidRPr="001627AF" w:rsidRDefault="008A27EC" w:rsidP="008A27EC">
            <w:pPr>
              <w:numPr>
                <w:ilvl w:val="0"/>
                <w:numId w:val="1"/>
              </w:numPr>
              <w:spacing w:before="60" w:after="60" w:line="240" w:lineRule="auto"/>
              <w:jc w:val="both"/>
              <w:rPr>
                <w:rFonts w:ascii="Arial" w:hAnsi="Arial" w:cs="Arial"/>
              </w:rPr>
            </w:pPr>
            <w:r w:rsidRPr="001627AF">
              <w:rPr>
                <w:rFonts w:ascii="Arial" w:hAnsi="Arial" w:cs="Arial"/>
              </w:rPr>
              <w:t>To offer a comprehensive support service to the integrated commissioning unit.</w:t>
            </w:r>
          </w:p>
          <w:p w:rsidR="008A27EC" w:rsidRPr="001627AF" w:rsidRDefault="008A27EC" w:rsidP="008A27EC">
            <w:pPr>
              <w:numPr>
                <w:ilvl w:val="0"/>
                <w:numId w:val="1"/>
              </w:numPr>
              <w:spacing w:before="60" w:after="60" w:line="240" w:lineRule="auto"/>
              <w:jc w:val="both"/>
              <w:rPr>
                <w:rFonts w:ascii="Arial" w:hAnsi="Arial" w:cs="Arial"/>
              </w:rPr>
            </w:pPr>
            <w:r w:rsidRPr="001627AF">
              <w:rPr>
                <w:rFonts w:ascii="Arial" w:hAnsi="Arial" w:cs="Arial"/>
              </w:rPr>
              <w:t>To maintain detailed records of outcomes for Commissioned Services.</w:t>
            </w:r>
          </w:p>
          <w:p w:rsidR="008A27EC" w:rsidRPr="001627AF" w:rsidRDefault="008A27EC" w:rsidP="001627AF">
            <w:pPr>
              <w:spacing w:after="0"/>
              <w:ind w:left="720"/>
              <w:jc w:val="both"/>
              <w:rPr>
                <w:rFonts w:ascii="Arial" w:hAnsi="Arial" w:cs="Arial"/>
              </w:rPr>
            </w:pPr>
            <w:r w:rsidRPr="001627AF">
              <w:rPr>
                <w:rFonts w:ascii="Arial" w:hAnsi="Arial" w:cs="Arial"/>
              </w:rPr>
              <w:tab/>
            </w:r>
          </w:p>
        </w:tc>
      </w:tr>
      <w:tr w:rsidR="008A27EC" w:rsidRPr="001627AF" w:rsidTr="001627AF">
        <w:trPr>
          <w:trHeight w:val="523"/>
        </w:trPr>
        <w:tc>
          <w:tcPr>
            <w:tcW w:w="4188" w:type="dxa"/>
            <w:vAlign w:val="center"/>
          </w:tcPr>
          <w:p w:rsidR="008A27EC" w:rsidRPr="001627AF" w:rsidRDefault="008A27EC" w:rsidP="001627AF">
            <w:pPr>
              <w:spacing w:before="120" w:after="120"/>
              <w:rPr>
                <w:rFonts w:ascii="Arial" w:hAnsi="Arial" w:cs="Arial"/>
                <w:b/>
              </w:rPr>
            </w:pPr>
            <w:r w:rsidRPr="001627AF">
              <w:rPr>
                <w:rFonts w:ascii="Arial" w:hAnsi="Arial" w:cs="Arial"/>
                <w:b/>
              </w:rPr>
              <w:t>Post ref no:</w:t>
            </w:r>
          </w:p>
        </w:tc>
        <w:tc>
          <w:tcPr>
            <w:tcW w:w="6072" w:type="dxa"/>
            <w:vAlign w:val="center"/>
          </w:tcPr>
          <w:p w:rsidR="008A27EC" w:rsidRPr="001627AF" w:rsidRDefault="008A27EC" w:rsidP="001627AF">
            <w:pPr>
              <w:pStyle w:val="Heading1"/>
              <w:spacing w:before="120" w:after="120"/>
              <w:rPr>
                <w:rFonts w:cs="Arial"/>
                <w:b w:val="0"/>
                <w:sz w:val="22"/>
                <w:szCs w:val="22"/>
              </w:rPr>
            </w:pPr>
          </w:p>
        </w:tc>
      </w:tr>
    </w:tbl>
    <w:p w:rsidR="008A27EC" w:rsidRPr="001627AF" w:rsidRDefault="008A27EC" w:rsidP="008A27EC">
      <w:pPr>
        <w:ind w:left="142"/>
        <w:jc w:val="both"/>
        <w:rPr>
          <w:rFonts w:ascii="Arial" w:hAnsi="Arial" w:cs="Arial"/>
          <w:b/>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9"/>
        <w:gridCol w:w="9531"/>
      </w:tblGrid>
      <w:tr w:rsidR="008A27EC" w:rsidRPr="001627AF" w:rsidTr="001627AF">
        <w:trPr>
          <w:cantSplit/>
        </w:trPr>
        <w:tc>
          <w:tcPr>
            <w:tcW w:w="10260" w:type="dxa"/>
            <w:gridSpan w:val="2"/>
            <w:tcBorders>
              <w:bottom w:val="nil"/>
            </w:tcBorders>
          </w:tcPr>
          <w:p w:rsidR="008A27EC" w:rsidRPr="001627AF" w:rsidRDefault="008A27EC" w:rsidP="001627AF">
            <w:pPr>
              <w:rPr>
                <w:rFonts w:ascii="Arial" w:hAnsi="Arial" w:cs="Arial"/>
              </w:rPr>
            </w:pPr>
            <w:r w:rsidRPr="001627AF">
              <w:rPr>
                <w:rFonts w:ascii="Arial" w:hAnsi="Arial" w:cs="Arial"/>
                <w:b/>
              </w:rPr>
              <w:t>Main Duties and Responsibilities/Accountabilities:</w:t>
            </w:r>
          </w:p>
        </w:tc>
      </w:tr>
      <w:tr w:rsidR="008A27EC" w:rsidRPr="001627AF" w:rsidTr="001627AF">
        <w:tc>
          <w:tcPr>
            <w:tcW w:w="729" w:type="dxa"/>
            <w:tcBorders>
              <w:top w:val="nil"/>
              <w:bottom w:val="nil"/>
              <w:right w:val="nil"/>
            </w:tcBorders>
          </w:tcPr>
          <w:p w:rsidR="008A27EC" w:rsidRPr="001627AF" w:rsidRDefault="008A27EC" w:rsidP="001627AF">
            <w:pPr>
              <w:spacing w:before="120" w:after="120"/>
              <w:jc w:val="both"/>
              <w:rPr>
                <w:rFonts w:ascii="Arial" w:hAnsi="Arial" w:cs="Arial"/>
                <w:b/>
              </w:rPr>
            </w:pPr>
            <w:r w:rsidRPr="001627AF">
              <w:rPr>
                <w:rFonts w:ascii="Arial" w:hAnsi="Arial" w:cs="Arial"/>
                <w:b/>
              </w:rPr>
              <w:t>1a)</w:t>
            </w:r>
          </w:p>
        </w:tc>
        <w:tc>
          <w:tcPr>
            <w:tcW w:w="9531" w:type="dxa"/>
            <w:tcBorders>
              <w:top w:val="nil"/>
              <w:left w:val="nil"/>
              <w:bottom w:val="nil"/>
            </w:tcBorders>
          </w:tcPr>
          <w:p w:rsidR="008A27EC" w:rsidRPr="001627AF" w:rsidRDefault="008A27EC" w:rsidP="001627AF">
            <w:pPr>
              <w:spacing w:before="120" w:after="120"/>
              <w:jc w:val="both"/>
              <w:rPr>
                <w:rFonts w:ascii="Arial" w:hAnsi="Arial" w:cs="Arial"/>
              </w:rPr>
            </w:pPr>
            <w:r w:rsidRPr="001627AF">
              <w:rPr>
                <w:rFonts w:ascii="Arial" w:hAnsi="Arial" w:cs="Arial"/>
              </w:rPr>
              <w:t>To work alongside the Officers of the Integrated Commissioning Unit to develop service related performance indicators and targets.</w:t>
            </w:r>
          </w:p>
        </w:tc>
      </w:tr>
      <w:tr w:rsidR="008A27EC" w:rsidRPr="001627AF" w:rsidTr="009E0852">
        <w:tc>
          <w:tcPr>
            <w:tcW w:w="729" w:type="dxa"/>
            <w:tcBorders>
              <w:top w:val="nil"/>
              <w:bottom w:val="single" w:sz="4" w:space="0" w:color="FFFFFF" w:themeColor="background1"/>
              <w:right w:val="nil"/>
            </w:tcBorders>
          </w:tcPr>
          <w:p w:rsidR="008A27EC" w:rsidRPr="001627AF" w:rsidRDefault="008A27EC" w:rsidP="001627AF">
            <w:pPr>
              <w:spacing w:before="120" w:after="120"/>
              <w:jc w:val="both"/>
              <w:rPr>
                <w:rFonts w:ascii="Arial" w:hAnsi="Arial" w:cs="Arial"/>
                <w:b/>
              </w:rPr>
            </w:pPr>
            <w:r w:rsidRPr="001627AF">
              <w:rPr>
                <w:rFonts w:ascii="Arial" w:hAnsi="Arial" w:cs="Arial"/>
                <w:b/>
              </w:rPr>
              <w:t>1b)</w:t>
            </w:r>
          </w:p>
        </w:tc>
        <w:tc>
          <w:tcPr>
            <w:tcW w:w="9531" w:type="dxa"/>
            <w:tcBorders>
              <w:top w:val="nil"/>
              <w:left w:val="nil"/>
              <w:bottom w:val="single" w:sz="4" w:space="0" w:color="FFFFFF" w:themeColor="background1"/>
            </w:tcBorders>
          </w:tcPr>
          <w:p w:rsidR="008A27EC" w:rsidRPr="001627AF" w:rsidRDefault="008A27EC" w:rsidP="001627AF">
            <w:pPr>
              <w:spacing w:before="120" w:after="120"/>
              <w:jc w:val="both"/>
              <w:rPr>
                <w:rFonts w:ascii="Arial" w:hAnsi="Arial" w:cs="Arial"/>
              </w:rPr>
            </w:pPr>
            <w:r w:rsidRPr="001627AF">
              <w:rPr>
                <w:rFonts w:ascii="Arial" w:hAnsi="Arial" w:cs="Arial"/>
              </w:rPr>
              <w:t>To develop monitoring systems which allow for regular, accurate reporting and bench marking where appropriate.</w:t>
            </w:r>
          </w:p>
        </w:tc>
      </w:tr>
      <w:tr w:rsidR="008A27EC" w:rsidRPr="001627AF" w:rsidTr="002B6219">
        <w:tc>
          <w:tcPr>
            <w:tcW w:w="729" w:type="dxa"/>
            <w:tcBorders>
              <w:top w:val="single" w:sz="4" w:space="0" w:color="FFFFFF" w:themeColor="background1"/>
              <w:bottom w:val="single" w:sz="4" w:space="0" w:color="auto"/>
              <w:right w:val="nil"/>
            </w:tcBorders>
          </w:tcPr>
          <w:p w:rsidR="008A27EC" w:rsidRPr="001627AF" w:rsidRDefault="008A27EC" w:rsidP="001627AF">
            <w:pPr>
              <w:spacing w:before="120" w:after="120"/>
              <w:jc w:val="both"/>
              <w:rPr>
                <w:rFonts w:ascii="Arial" w:hAnsi="Arial" w:cs="Arial"/>
                <w:b/>
              </w:rPr>
            </w:pPr>
            <w:r w:rsidRPr="001627AF">
              <w:rPr>
                <w:rFonts w:ascii="Arial" w:hAnsi="Arial" w:cs="Arial"/>
                <w:b/>
              </w:rPr>
              <w:t>1c)</w:t>
            </w:r>
          </w:p>
        </w:tc>
        <w:tc>
          <w:tcPr>
            <w:tcW w:w="9531" w:type="dxa"/>
            <w:tcBorders>
              <w:top w:val="single" w:sz="4" w:space="0" w:color="FFFFFF" w:themeColor="background1"/>
              <w:left w:val="nil"/>
              <w:bottom w:val="single" w:sz="4" w:space="0" w:color="auto"/>
            </w:tcBorders>
          </w:tcPr>
          <w:p w:rsidR="008A27EC" w:rsidRPr="001627AF" w:rsidRDefault="008A27EC" w:rsidP="001627AF">
            <w:pPr>
              <w:spacing w:before="120" w:after="120"/>
              <w:jc w:val="both"/>
              <w:rPr>
                <w:rFonts w:ascii="Arial" w:hAnsi="Arial" w:cs="Arial"/>
              </w:rPr>
            </w:pPr>
            <w:r w:rsidRPr="001627AF">
              <w:rPr>
                <w:rFonts w:ascii="Arial" w:hAnsi="Arial" w:cs="Arial"/>
              </w:rPr>
              <w:t>To arrange, minute and contribute to regular monitoring meetings ensuring reports are accurate and presented in advance.</w:t>
            </w:r>
          </w:p>
        </w:tc>
      </w:tr>
      <w:tr w:rsidR="008A27EC" w:rsidRPr="001627AF" w:rsidTr="002B6219">
        <w:tc>
          <w:tcPr>
            <w:tcW w:w="729" w:type="dxa"/>
            <w:tcBorders>
              <w:top w:val="single" w:sz="4" w:space="0" w:color="auto"/>
              <w:bottom w:val="nil"/>
              <w:right w:val="nil"/>
            </w:tcBorders>
          </w:tcPr>
          <w:p w:rsidR="008A27EC" w:rsidRPr="001627AF" w:rsidRDefault="008A27EC" w:rsidP="001627AF">
            <w:pPr>
              <w:spacing w:before="120" w:after="120"/>
              <w:jc w:val="both"/>
              <w:rPr>
                <w:rFonts w:ascii="Arial" w:hAnsi="Arial" w:cs="Arial"/>
                <w:b/>
              </w:rPr>
            </w:pPr>
            <w:r w:rsidRPr="001627AF">
              <w:rPr>
                <w:rFonts w:ascii="Arial" w:hAnsi="Arial" w:cs="Arial"/>
                <w:b/>
              </w:rPr>
              <w:t>1d)</w:t>
            </w:r>
          </w:p>
        </w:tc>
        <w:tc>
          <w:tcPr>
            <w:tcW w:w="9531" w:type="dxa"/>
            <w:tcBorders>
              <w:top w:val="single" w:sz="4" w:space="0" w:color="auto"/>
              <w:left w:val="nil"/>
              <w:bottom w:val="nil"/>
            </w:tcBorders>
          </w:tcPr>
          <w:p w:rsidR="008A27EC" w:rsidRPr="001627AF" w:rsidRDefault="008A27EC" w:rsidP="001627AF">
            <w:pPr>
              <w:spacing w:before="120" w:after="120"/>
              <w:jc w:val="both"/>
              <w:rPr>
                <w:rFonts w:ascii="Arial" w:hAnsi="Arial" w:cs="Arial"/>
              </w:rPr>
            </w:pPr>
            <w:r w:rsidRPr="001627AF">
              <w:rPr>
                <w:rFonts w:ascii="Arial" w:hAnsi="Arial" w:cs="Arial"/>
              </w:rPr>
              <w:t>To support the officers of the Integrated Commissioning Unit in preparing strategies and other reports.</w:t>
            </w:r>
          </w:p>
        </w:tc>
      </w:tr>
      <w:tr w:rsidR="008A27EC" w:rsidRPr="001627AF" w:rsidTr="009E0852">
        <w:tc>
          <w:tcPr>
            <w:tcW w:w="729" w:type="dxa"/>
            <w:tcBorders>
              <w:top w:val="nil"/>
              <w:bottom w:val="single" w:sz="4" w:space="0" w:color="000000" w:themeColor="text1"/>
              <w:right w:val="nil"/>
            </w:tcBorders>
          </w:tcPr>
          <w:p w:rsidR="008A27EC" w:rsidRPr="001627AF" w:rsidRDefault="008A27EC" w:rsidP="001627AF">
            <w:pPr>
              <w:spacing w:before="120" w:after="120"/>
              <w:jc w:val="both"/>
              <w:rPr>
                <w:rFonts w:ascii="Arial" w:hAnsi="Arial" w:cs="Arial"/>
                <w:b/>
              </w:rPr>
            </w:pPr>
            <w:r w:rsidRPr="001627AF">
              <w:rPr>
                <w:rFonts w:ascii="Arial" w:hAnsi="Arial" w:cs="Arial"/>
                <w:b/>
              </w:rPr>
              <w:t>1e)</w:t>
            </w:r>
          </w:p>
        </w:tc>
        <w:tc>
          <w:tcPr>
            <w:tcW w:w="9531" w:type="dxa"/>
            <w:tcBorders>
              <w:top w:val="nil"/>
              <w:left w:val="nil"/>
              <w:bottom w:val="single" w:sz="4" w:space="0" w:color="000000" w:themeColor="text1"/>
            </w:tcBorders>
          </w:tcPr>
          <w:p w:rsidR="009E0852" w:rsidRPr="001627AF" w:rsidRDefault="008A27EC" w:rsidP="001627AF">
            <w:pPr>
              <w:spacing w:before="120" w:after="120"/>
              <w:jc w:val="both"/>
              <w:rPr>
                <w:rFonts w:ascii="Arial" w:hAnsi="Arial" w:cs="Arial"/>
              </w:rPr>
            </w:pPr>
            <w:r w:rsidRPr="001627AF">
              <w:rPr>
                <w:rFonts w:ascii="Arial" w:hAnsi="Arial" w:cs="Arial"/>
              </w:rPr>
              <w:t xml:space="preserve">To raise initial concerns with </w:t>
            </w:r>
            <w:proofErr w:type="gramStart"/>
            <w:r w:rsidRPr="001627AF">
              <w:rPr>
                <w:rFonts w:ascii="Arial" w:hAnsi="Arial" w:cs="Arial"/>
              </w:rPr>
              <w:t>providers arising</w:t>
            </w:r>
            <w:proofErr w:type="gramEnd"/>
            <w:r w:rsidRPr="001627AF">
              <w:rPr>
                <w:rFonts w:ascii="Arial" w:hAnsi="Arial" w:cs="Arial"/>
              </w:rPr>
              <w:t xml:space="preserve"> from data collection or data reporting and notifying the relevant Commissioning Officer of any on-going concerns. To immediately alert the relevant Commissioning Officer of any serious concerns.</w:t>
            </w:r>
          </w:p>
        </w:tc>
      </w:tr>
      <w:tr w:rsidR="008A27EC" w:rsidRPr="001627AF" w:rsidTr="009E0852">
        <w:tc>
          <w:tcPr>
            <w:tcW w:w="729" w:type="dxa"/>
            <w:tcBorders>
              <w:top w:val="single" w:sz="4" w:space="0" w:color="000000" w:themeColor="text1"/>
              <w:bottom w:val="nil"/>
              <w:right w:val="nil"/>
            </w:tcBorders>
          </w:tcPr>
          <w:p w:rsidR="008A27EC" w:rsidRPr="001627AF" w:rsidRDefault="008A27EC" w:rsidP="001627AF">
            <w:pPr>
              <w:spacing w:before="120" w:after="120"/>
              <w:jc w:val="both"/>
              <w:rPr>
                <w:rFonts w:ascii="Arial" w:hAnsi="Arial" w:cs="Arial"/>
                <w:b/>
              </w:rPr>
            </w:pPr>
            <w:r w:rsidRPr="001627AF">
              <w:rPr>
                <w:rFonts w:ascii="Arial" w:hAnsi="Arial" w:cs="Arial"/>
                <w:b/>
              </w:rPr>
              <w:t>2a)</w:t>
            </w:r>
          </w:p>
        </w:tc>
        <w:tc>
          <w:tcPr>
            <w:tcW w:w="9531" w:type="dxa"/>
            <w:tcBorders>
              <w:top w:val="single" w:sz="4" w:space="0" w:color="000000" w:themeColor="text1"/>
              <w:left w:val="nil"/>
              <w:bottom w:val="nil"/>
            </w:tcBorders>
          </w:tcPr>
          <w:p w:rsidR="008A27EC" w:rsidRPr="001627AF" w:rsidRDefault="008A27EC" w:rsidP="001627AF">
            <w:pPr>
              <w:spacing w:before="120" w:after="120"/>
              <w:jc w:val="both"/>
              <w:rPr>
                <w:rFonts w:ascii="Arial" w:hAnsi="Arial" w:cs="Arial"/>
              </w:rPr>
            </w:pPr>
            <w:r w:rsidRPr="001627AF">
              <w:rPr>
                <w:rFonts w:ascii="Arial" w:hAnsi="Arial" w:cs="Arial"/>
              </w:rPr>
              <w:t>To set up and maintain accurate and detailed financial spreadsheets, cross referencing with SAP and supporting the financial forecasting process.</w:t>
            </w:r>
          </w:p>
        </w:tc>
      </w:tr>
      <w:tr w:rsidR="008A27EC" w:rsidRPr="001627AF" w:rsidTr="009E0852">
        <w:tc>
          <w:tcPr>
            <w:tcW w:w="729" w:type="dxa"/>
            <w:tcBorders>
              <w:top w:val="nil"/>
              <w:bottom w:val="single" w:sz="4" w:space="0" w:color="000000" w:themeColor="text1"/>
              <w:right w:val="nil"/>
            </w:tcBorders>
          </w:tcPr>
          <w:p w:rsidR="008A27EC" w:rsidRPr="001627AF" w:rsidRDefault="008A27EC" w:rsidP="001627AF">
            <w:pPr>
              <w:spacing w:before="120" w:after="120"/>
              <w:jc w:val="both"/>
              <w:rPr>
                <w:rFonts w:ascii="Arial" w:hAnsi="Arial" w:cs="Arial"/>
                <w:b/>
              </w:rPr>
            </w:pPr>
            <w:r w:rsidRPr="001627AF">
              <w:rPr>
                <w:rFonts w:ascii="Arial" w:hAnsi="Arial" w:cs="Arial"/>
                <w:b/>
              </w:rPr>
              <w:t>2b)</w:t>
            </w:r>
          </w:p>
        </w:tc>
        <w:tc>
          <w:tcPr>
            <w:tcW w:w="9531" w:type="dxa"/>
            <w:tcBorders>
              <w:top w:val="nil"/>
              <w:left w:val="nil"/>
              <w:bottom w:val="single" w:sz="4" w:space="0" w:color="000000" w:themeColor="text1"/>
            </w:tcBorders>
          </w:tcPr>
          <w:p w:rsidR="009E0852" w:rsidRDefault="008A27EC" w:rsidP="001627AF">
            <w:pPr>
              <w:spacing w:before="120" w:after="120"/>
              <w:jc w:val="both"/>
              <w:rPr>
                <w:rFonts w:ascii="Arial" w:hAnsi="Arial" w:cs="Arial"/>
              </w:rPr>
            </w:pPr>
            <w:r w:rsidRPr="001627AF">
              <w:rPr>
                <w:rFonts w:ascii="Arial" w:hAnsi="Arial" w:cs="Arial"/>
              </w:rPr>
              <w:t>To establish and maintain an effective service for prompt payment of invoices ensuring attention to detail and time scales.</w:t>
            </w:r>
          </w:p>
          <w:p w:rsidR="002B6219" w:rsidRPr="001627AF" w:rsidRDefault="002B6219" w:rsidP="001627AF">
            <w:pPr>
              <w:spacing w:before="120" w:after="120"/>
              <w:jc w:val="both"/>
              <w:rPr>
                <w:rFonts w:ascii="Arial" w:hAnsi="Arial" w:cs="Arial"/>
              </w:rPr>
            </w:pPr>
          </w:p>
        </w:tc>
      </w:tr>
      <w:tr w:rsidR="008A27EC" w:rsidRPr="001627AF" w:rsidTr="009E0852">
        <w:tc>
          <w:tcPr>
            <w:tcW w:w="729" w:type="dxa"/>
            <w:tcBorders>
              <w:top w:val="single" w:sz="4" w:space="0" w:color="000000" w:themeColor="text1"/>
              <w:bottom w:val="nil"/>
              <w:right w:val="nil"/>
            </w:tcBorders>
          </w:tcPr>
          <w:p w:rsidR="008A27EC" w:rsidRPr="001627AF" w:rsidRDefault="008A27EC" w:rsidP="001627AF">
            <w:pPr>
              <w:spacing w:before="120" w:after="120"/>
              <w:jc w:val="both"/>
              <w:rPr>
                <w:rFonts w:ascii="Arial" w:hAnsi="Arial" w:cs="Arial"/>
                <w:b/>
              </w:rPr>
            </w:pPr>
            <w:r w:rsidRPr="001627AF">
              <w:rPr>
                <w:rFonts w:ascii="Arial" w:hAnsi="Arial" w:cs="Arial"/>
                <w:b/>
              </w:rPr>
              <w:t>3a)</w:t>
            </w:r>
          </w:p>
        </w:tc>
        <w:tc>
          <w:tcPr>
            <w:tcW w:w="9531" w:type="dxa"/>
            <w:tcBorders>
              <w:top w:val="single" w:sz="4" w:space="0" w:color="000000" w:themeColor="text1"/>
              <w:left w:val="nil"/>
              <w:bottom w:val="nil"/>
            </w:tcBorders>
          </w:tcPr>
          <w:p w:rsidR="008A27EC" w:rsidRPr="001627AF" w:rsidRDefault="008A27EC" w:rsidP="001627AF">
            <w:pPr>
              <w:spacing w:before="120" w:after="120"/>
              <w:jc w:val="both"/>
              <w:rPr>
                <w:rFonts w:ascii="Arial" w:hAnsi="Arial" w:cs="Arial"/>
              </w:rPr>
            </w:pPr>
            <w:r w:rsidRPr="001627AF">
              <w:rPr>
                <w:rFonts w:ascii="Arial" w:hAnsi="Arial" w:cs="Arial"/>
              </w:rPr>
              <w:t>To meet with providers where necessary to help improve performance monitoring data returns.</w:t>
            </w:r>
          </w:p>
        </w:tc>
      </w:tr>
      <w:tr w:rsidR="008A27EC" w:rsidRPr="001627AF" w:rsidTr="001627AF">
        <w:tc>
          <w:tcPr>
            <w:tcW w:w="729" w:type="dxa"/>
            <w:tcBorders>
              <w:top w:val="nil"/>
              <w:bottom w:val="nil"/>
              <w:right w:val="nil"/>
            </w:tcBorders>
          </w:tcPr>
          <w:p w:rsidR="008A27EC" w:rsidRPr="001627AF" w:rsidRDefault="008A27EC" w:rsidP="001627AF">
            <w:pPr>
              <w:spacing w:before="120" w:after="120"/>
              <w:jc w:val="both"/>
              <w:rPr>
                <w:rFonts w:ascii="Arial" w:hAnsi="Arial" w:cs="Arial"/>
                <w:b/>
              </w:rPr>
            </w:pPr>
            <w:r w:rsidRPr="001627AF">
              <w:rPr>
                <w:rFonts w:ascii="Arial" w:hAnsi="Arial" w:cs="Arial"/>
                <w:b/>
              </w:rPr>
              <w:t>3b)</w:t>
            </w:r>
          </w:p>
        </w:tc>
        <w:tc>
          <w:tcPr>
            <w:tcW w:w="9531" w:type="dxa"/>
            <w:tcBorders>
              <w:top w:val="nil"/>
              <w:left w:val="nil"/>
              <w:bottom w:val="nil"/>
            </w:tcBorders>
          </w:tcPr>
          <w:p w:rsidR="008A27EC" w:rsidRPr="001627AF" w:rsidRDefault="008A27EC" w:rsidP="00F12E68">
            <w:pPr>
              <w:spacing w:before="120" w:after="120"/>
              <w:jc w:val="both"/>
              <w:rPr>
                <w:rFonts w:ascii="Arial" w:hAnsi="Arial" w:cs="Arial"/>
              </w:rPr>
            </w:pPr>
            <w:r w:rsidRPr="001627AF">
              <w:rPr>
                <w:rFonts w:ascii="Arial" w:hAnsi="Arial" w:cs="Arial"/>
              </w:rPr>
              <w:t xml:space="preserve">To carry out </w:t>
            </w:r>
            <w:r w:rsidR="00F12E68" w:rsidRPr="001627AF">
              <w:rPr>
                <w:rFonts w:ascii="Arial" w:hAnsi="Arial" w:cs="Arial"/>
              </w:rPr>
              <w:t>provider</w:t>
            </w:r>
            <w:r w:rsidRPr="001627AF">
              <w:rPr>
                <w:rFonts w:ascii="Arial" w:hAnsi="Arial" w:cs="Arial"/>
              </w:rPr>
              <w:t xml:space="preserve"> visits </w:t>
            </w:r>
            <w:r w:rsidR="00F12E68" w:rsidRPr="001627AF">
              <w:rPr>
                <w:rFonts w:ascii="Arial" w:hAnsi="Arial" w:cs="Arial"/>
              </w:rPr>
              <w:t>for monitoring and auditing purposes as required and specifically carrying out monitoring in relation to SSCB Safeguarding Standards.</w:t>
            </w:r>
          </w:p>
        </w:tc>
      </w:tr>
      <w:tr w:rsidR="008A27EC" w:rsidRPr="001627AF" w:rsidTr="001627AF">
        <w:tc>
          <w:tcPr>
            <w:tcW w:w="729" w:type="dxa"/>
            <w:tcBorders>
              <w:top w:val="nil"/>
              <w:bottom w:val="nil"/>
              <w:right w:val="nil"/>
            </w:tcBorders>
          </w:tcPr>
          <w:p w:rsidR="008A27EC" w:rsidRPr="001627AF" w:rsidRDefault="008A27EC" w:rsidP="001627AF">
            <w:pPr>
              <w:spacing w:before="120" w:after="120"/>
              <w:jc w:val="both"/>
              <w:rPr>
                <w:rFonts w:ascii="Arial" w:hAnsi="Arial" w:cs="Arial"/>
                <w:b/>
              </w:rPr>
            </w:pPr>
            <w:r w:rsidRPr="001627AF">
              <w:rPr>
                <w:rFonts w:ascii="Arial" w:hAnsi="Arial" w:cs="Arial"/>
                <w:b/>
              </w:rPr>
              <w:t>3c)</w:t>
            </w:r>
          </w:p>
        </w:tc>
        <w:tc>
          <w:tcPr>
            <w:tcW w:w="9531" w:type="dxa"/>
            <w:tcBorders>
              <w:top w:val="nil"/>
              <w:left w:val="nil"/>
              <w:bottom w:val="nil"/>
            </w:tcBorders>
          </w:tcPr>
          <w:p w:rsidR="008A27EC" w:rsidRPr="001627AF" w:rsidRDefault="008A27EC" w:rsidP="001627AF">
            <w:pPr>
              <w:spacing w:before="120" w:after="120"/>
              <w:jc w:val="both"/>
              <w:rPr>
                <w:rFonts w:ascii="Arial" w:hAnsi="Arial" w:cs="Arial"/>
              </w:rPr>
            </w:pPr>
            <w:r w:rsidRPr="001627AF">
              <w:rPr>
                <w:rFonts w:ascii="Arial" w:hAnsi="Arial" w:cs="Arial"/>
              </w:rPr>
              <w:t>To offer support to Commissioning Officers/Manager in arranging provider forums, consultation and other events.</w:t>
            </w:r>
          </w:p>
        </w:tc>
      </w:tr>
      <w:tr w:rsidR="008A27EC" w:rsidRPr="001627AF" w:rsidTr="009E0852">
        <w:tc>
          <w:tcPr>
            <w:tcW w:w="729" w:type="dxa"/>
            <w:tcBorders>
              <w:top w:val="nil"/>
              <w:bottom w:val="single" w:sz="4" w:space="0" w:color="000000" w:themeColor="text1"/>
              <w:right w:val="nil"/>
            </w:tcBorders>
          </w:tcPr>
          <w:p w:rsidR="008A27EC" w:rsidRPr="001627AF" w:rsidRDefault="008A27EC" w:rsidP="001627AF">
            <w:pPr>
              <w:spacing w:before="120" w:after="120"/>
              <w:jc w:val="both"/>
              <w:rPr>
                <w:rFonts w:ascii="Arial" w:hAnsi="Arial" w:cs="Arial"/>
                <w:b/>
              </w:rPr>
            </w:pPr>
            <w:r w:rsidRPr="001627AF">
              <w:rPr>
                <w:rFonts w:ascii="Arial" w:hAnsi="Arial" w:cs="Arial"/>
                <w:b/>
              </w:rPr>
              <w:t>3e)</w:t>
            </w:r>
          </w:p>
        </w:tc>
        <w:tc>
          <w:tcPr>
            <w:tcW w:w="9531" w:type="dxa"/>
            <w:tcBorders>
              <w:top w:val="nil"/>
              <w:left w:val="nil"/>
              <w:bottom w:val="single" w:sz="4" w:space="0" w:color="000000" w:themeColor="text1"/>
            </w:tcBorders>
          </w:tcPr>
          <w:p w:rsidR="009E0852" w:rsidRDefault="008A27EC" w:rsidP="001627AF">
            <w:pPr>
              <w:spacing w:before="120" w:after="120"/>
              <w:jc w:val="both"/>
              <w:rPr>
                <w:rFonts w:ascii="Arial" w:hAnsi="Arial" w:cs="Arial"/>
              </w:rPr>
            </w:pPr>
            <w:r w:rsidRPr="001627AF">
              <w:rPr>
                <w:rFonts w:ascii="Arial" w:hAnsi="Arial" w:cs="Arial"/>
              </w:rPr>
              <w:t>To ensure provider and other appropriate files are maintained to the highest standards.</w:t>
            </w:r>
          </w:p>
          <w:p w:rsidR="002B6219" w:rsidRPr="001627AF" w:rsidRDefault="002B6219" w:rsidP="001627AF">
            <w:pPr>
              <w:spacing w:before="120" w:after="120"/>
              <w:jc w:val="both"/>
              <w:rPr>
                <w:rFonts w:ascii="Arial" w:hAnsi="Arial" w:cs="Arial"/>
              </w:rPr>
            </w:pPr>
          </w:p>
        </w:tc>
      </w:tr>
      <w:tr w:rsidR="008A27EC" w:rsidRPr="001627AF" w:rsidTr="009E0852">
        <w:tc>
          <w:tcPr>
            <w:tcW w:w="729" w:type="dxa"/>
            <w:tcBorders>
              <w:top w:val="single" w:sz="4" w:space="0" w:color="000000" w:themeColor="text1"/>
              <w:bottom w:val="nil"/>
              <w:right w:val="nil"/>
            </w:tcBorders>
          </w:tcPr>
          <w:p w:rsidR="008A27EC" w:rsidRPr="001627AF" w:rsidRDefault="008A27EC" w:rsidP="001627AF">
            <w:pPr>
              <w:spacing w:before="120" w:after="120"/>
              <w:jc w:val="both"/>
              <w:rPr>
                <w:rFonts w:ascii="Arial" w:hAnsi="Arial" w:cs="Arial"/>
                <w:b/>
              </w:rPr>
            </w:pPr>
            <w:r w:rsidRPr="001627AF">
              <w:rPr>
                <w:rFonts w:ascii="Arial" w:hAnsi="Arial" w:cs="Arial"/>
                <w:b/>
              </w:rPr>
              <w:t>4a)</w:t>
            </w:r>
          </w:p>
        </w:tc>
        <w:tc>
          <w:tcPr>
            <w:tcW w:w="9531" w:type="dxa"/>
            <w:tcBorders>
              <w:top w:val="single" w:sz="4" w:space="0" w:color="000000" w:themeColor="text1"/>
              <w:left w:val="nil"/>
              <w:bottom w:val="nil"/>
            </w:tcBorders>
          </w:tcPr>
          <w:p w:rsidR="008A27EC" w:rsidRPr="001627AF" w:rsidRDefault="008A27EC" w:rsidP="001627AF">
            <w:pPr>
              <w:spacing w:before="120" w:after="120"/>
              <w:jc w:val="both"/>
              <w:rPr>
                <w:rFonts w:ascii="Arial" w:hAnsi="Arial" w:cs="Arial"/>
              </w:rPr>
            </w:pPr>
            <w:r w:rsidRPr="001627AF">
              <w:rPr>
                <w:rFonts w:ascii="Arial" w:hAnsi="Arial" w:cs="Arial"/>
              </w:rPr>
              <w:t>To support Commissioning Officers/Managers in vetting providers, including chasing up relevant documents, taking verbal references and collating relevant information.</w:t>
            </w:r>
          </w:p>
        </w:tc>
      </w:tr>
      <w:tr w:rsidR="008A27EC" w:rsidRPr="001627AF" w:rsidTr="001627AF">
        <w:tc>
          <w:tcPr>
            <w:tcW w:w="729" w:type="dxa"/>
            <w:tcBorders>
              <w:top w:val="nil"/>
              <w:bottom w:val="nil"/>
              <w:right w:val="nil"/>
            </w:tcBorders>
          </w:tcPr>
          <w:p w:rsidR="008A27EC" w:rsidRPr="001627AF" w:rsidRDefault="008A27EC" w:rsidP="001627AF">
            <w:pPr>
              <w:spacing w:before="120" w:after="120"/>
              <w:jc w:val="both"/>
              <w:rPr>
                <w:rFonts w:ascii="Arial" w:hAnsi="Arial" w:cs="Arial"/>
                <w:b/>
              </w:rPr>
            </w:pPr>
            <w:r w:rsidRPr="001627AF">
              <w:rPr>
                <w:rFonts w:ascii="Arial" w:hAnsi="Arial" w:cs="Arial"/>
                <w:b/>
              </w:rPr>
              <w:t>4b)</w:t>
            </w:r>
          </w:p>
        </w:tc>
        <w:tc>
          <w:tcPr>
            <w:tcW w:w="9531" w:type="dxa"/>
            <w:tcBorders>
              <w:top w:val="nil"/>
              <w:left w:val="nil"/>
              <w:bottom w:val="nil"/>
            </w:tcBorders>
          </w:tcPr>
          <w:p w:rsidR="008A27EC" w:rsidRPr="001627AF" w:rsidRDefault="008A27EC" w:rsidP="001627AF">
            <w:pPr>
              <w:spacing w:before="120" w:after="120"/>
              <w:jc w:val="both"/>
              <w:rPr>
                <w:rFonts w:ascii="Arial" w:hAnsi="Arial" w:cs="Arial"/>
              </w:rPr>
            </w:pPr>
            <w:r w:rsidRPr="001627AF">
              <w:rPr>
                <w:rFonts w:ascii="Arial" w:hAnsi="Arial" w:cs="Arial"/>
              </w:rPr>
              <w:t>To support the Commissioning Officers/Manager in collating and reporting on customer feedback.</w:t>
            </w:r>
          </w:p>
        </w:tc>
      </w:tr>
      <w:tr w:rsidR="008A27EC" w:rsidRPr="001627AF" w:rsidTr="001627AF">
        <w:tc>
          <w:tcPr>
            <w:tcW w:w="729" w:type="dxa"/>
            <w:tcBorders>
              <w:top w:val="nil"/>
              <w:bottom w:val="nil"/>
              <w:right w:val="nil"/>
            </w:tcBorders>
          </w:tcPr>
          <w:p w:rsidR="008A27EC" w:rsidRPr="001627AF" w:rsidRDefault="008A27EC" w:rsidP="001627AF">
            <w:pPr>
              <w:spacing w:before="120" w:after="120"/>
              <w:jc w:val="both"/>
              <w:rPr>
                <w:rFonts w:ascii="Arial" w:hAnsi="Arial" w:cs="Arial"/>
                <w:b/>
              </w:rPr>
            </w:pPr>
            <w:r w:rsidRPr="001627AF">
              <w:rPr>
                <w:rFonts w:ascii="Arial" w:hAnsi="Arial" w:cs="Arial"/>
                <w:b/>
              </w:rPr>
              <w:t>4c)</w:t>
            </w:r>
          </w:p>
        </w:tc>
        <w:tc>
          <w:tcPr>
            <w:tcW w:w="9531" w:type="dxa"/>
            <w:tcBorders>
              <w:top w:val="nil"/>
              <w:left w:val="nil"/>
              <w:bottom w:val="nil"/>
            </w:tcBorders>
          </w:tcPr>
          <w:p w:rsidR="008A27EC" w:rsidRPr="001627AF" w:rsidRDefault="008A27EC" w:rsidP="001627AF">
            <w:pPr>
              <w:spacing w:before="120" w:after="120"/>
              <w:jc w:val="both"/>
              <w:rPr>
                <w:rFonts w:ascii="Arial" w:hAnsi="Arial" w:cs="Arial"/>
              </w:rPr>
            </w:pPr>
            <w:r w:rsidRPr="001627AF">
              <w:rPr>
                <w:rFonts w:ascii="Arial" w:hAnsi="Arial" w:cs="Arial"/>
              </w:rPr>
              <w:t>To be responsible for booking rooms, arranging meetings, ordering stationary and follow up on any health and safety and maintenance issues.</w:t>
            </w:r>
          </w:p>
        </w:tc>
      </w:tr>
      <w:tr w:rsidR="008A27EC" w:rsidRPr="001627AF" w:rsidTr="001627AF">
        <w:tc>
          <w:tcPr>
            <w:tcW w:w="729" w:type="dxa"/>
            <w:tcBorders>
              <w:top w:val="nil"/>
              <w:bottom w:val="nil"/>
              <w:right w:val="nil"/>
            </w:tcBorders>
          </w:tcPr>
          <w:p w:rsidR="008A27EC" w:rsidRPr="001627AF" w:rsidRDefault="008A27EC" w:rsidP="001627AF">
            <w:pPr>
              <w:spacing w:before="120" w:after="120"/>
              <w:jc w:val="both"/>
              <w:rPr>
                <w:rFonts w:ascii="Arial" w:hAnsi="Arial" w:cs="Arial"/>
                <w:b/>
              </w:rPr>
            </w:pPr>
            <w:r w:rsidRPr="001627AF">
              <w:rPr>
                <w:rFonts w:ascii="Arial" w:hAnsi="Arial" w:cs="Arial"/>
                <w:b/>
              </w:rPr>
              <w:t>4d)</w:t>
            </w:r>
          </w:p>
        </w:tc>
        <w:tc>
          <w:tcPr>
            <w:tcW w:w="9531" w:type="dxa"/>
            <w:tcBorders>
              <w:top w:val="nil"/>
              <w:left w:val="nil"/>
              <w:bottom w:val="nil"/>
            </w:tcBorders>
          </w:tcPr>
          <w:p w:rsidR="008A27EC" w:rsidRPr="001627AF" w:rsidRDefault="008A27EC" w:rsidP="001627AF">
            <w:pPr>
              <w:spacing w:before="120" w:after="120"/>
              <w:jc w:val="both"/>
              <w:rPr>
                <w:rFonts w:ascii="Arial" w:hAnsi="Arial" w:cs="Arial"/>
              </w:rPr>
            </w:pPr>
            <w:r w:rsidRPr="001627AF">
              <w:rPr>
                <w:rFonts w:ascii="Arial" w:hAnsi="Arial" w:cs="Arial"/>
              </w:rPr>
              <w:t>To liaise with providers, service users and also staff from other agencies and other sections of the Directorate promoting good working practices within and outside the Directorate, demonstrating good interpersonal and communications skills in order to meet the demanding needs of all service users and providers.</w:t>
            </w:r>
          </w:p>
        </w:tc>
      </w:tr>
      <w:tr w:rsidR="008A27EC" w:rsidRPr="001627AF" w:rsidTr="001627AF">
        <w:tc>
          <w:tcPr>
            <w:tcW w:w="729" w:type="dxa"/>
            <w:tcBorders>
              <w:top w:val="nil"/>
              <w:bottom w:val="nil"/>
              <w:right w:val="nil"/>
            </w:tcBorders>
          </w:tcPr>
          <w:p w:rsidR="008A27EC" w:rsidRPr="001627AF" w:rsidRDefault="008A27EC" w:rsidP="001627AF">
            <w:pPr>
              <w:spacing w:before="120" w:after="120"/>
              <w:jc w:val="both"/>
              <w:rPr>
                <w:rFonts w:ascii="Arial" w:hAnsi="Arial" w:cs="Arial"/>
                <w:b/>
              </w:rPr>
            </w:pPr>
            <w:r w:rsidRPr="001627AF">
              <w:rPr>
                <w:rFonts w:ascii="Arial" w:hAnsi="Arial" w:cs="Arial"/>
                <w:b/>
              </w:rPr>
              <w:t>4e)</w:t>
            </w:r>
          </w:p>
        </w:tc>
        <w:tc>
          <w:tcPr>
            <w:tcW w:w="9531" w:type="dxa"/>
            <w:tcBorders>
              <w:top w:val="nil"/>
              <w:left w:val="nil"/>
              <w:bottom w:val="nil"/>
            </w:tcBorders>
          </w:tcPr>
          <w:p w:rsidR="008A27EC" w:rsidRPr="001627AF" w:rsidRDefault="008A27EC" w:rsidP="001627AF">
            <w:pPr>
              <w:spacing w:before="120" w:after="120"/>
              <w:jc w:val="both"/>
              <w:rPr>
                <w:rFonts w:ascii="Arial" w:hAnsi="Arial" w:cs="Arial"/>
              </w:rPr>
            </w:pPr>
            <w:r w:rsidRPr="001627AF">
              <w:rPr>
                <w:rFonts w:ascii="Arial" w:hAnsi="Arial" w:cs="Arial"/>
              </w:rPr>
              <w:t>To have or develop understanding of Government legislation in order to undertake the role and also an awareness of and dedication to meeting government targets and standards.</w:t>
            </w:r>
          </w:p>
        </w:tc>
      </w:tr>
      <w:tr w:rsidR="008A27EC" w:rsidRPr="001627AF" w:rsidTr="001627AF">
        <w:tc>
          <w:tcPr>
            <w:tcW w:w="729" w:type="dxa"/>
            <w:tcBorders>
              <w:top w:val="nil"/>
              <w:bottom w:val="nil"/>
              <w:right w:val="nil"/>
            </w:tcBorders>
          </w:tcPr>
          <w:p w:rsidR="008A27EC" w:rsidRPr="001627AF" w:rsidRDefault="008A27EC" w:rsidP="001627AF">
            <w:pPr>
              <w:spacing w:before="120" w:after="120"/>
              <w:jc w:val="both"/>
              <w:rPr>
                <w:rFonts w:ascii="Arial" w:hAnsi="Arial" w:cs="Arial"/>
                <w:b/>
              </w:rPr>
            </w:pPr>
            <w:r w:rsidRPr="001627AF">
              <w:rPr>
                <w:rFonts w:ascii="Arial" w:hAnsi="Arial" w:cs="Arial"/>
                <w:b/>
              </w:rPr>
              <w:t>4f)</w:t>
            </w:r>
          </w:p>
        </w:tc>
        <w:tc>
          <w:tcPr>
            <w:tcW w:w="9531" w:type="dxa"/>
            <w:tcBorders>
              <w:top w:val="nil"/>
              <w:left w:val="nil"/>
              <w:bottom w:val="nil"/>
            </w:tcBorders>
          </w:tcPr>
          <w:p w:rsidR="008A27EC" w:rsidRPr="001627AF" w:rsidRDefault="008A27EC" w:rsidP="001627AF">
            <w:pPr>
              <w:spacing w:before="120" w:after="120"/>
              <w:jc w:val="both"/>
              <w:rPr>
                <w:rFonts w:ascii="Arial" w:hAnsi="Arial" w:cs="Arial"/>
              </w:rPr>
            </w:pPr>
            <w:r w:rsidRPr="001627AF">
              <w:rPr>
                <w:rFonts w:ascii="Arial" w:hAnsi="Arial" w:cs="Arial"/>
              </w:rPr>
              <w:t>To work as part of a team but also have the ability to use initiative and sound judgement, responding independently to unexpected problems and situations, having due regard to the various legislation, standards and procedures within the service.</w:t>
            </w:r>
          </w:p>
        </w:tc>
      </w:tr>
      <w:tr w:rsidR="008A27EC" w:rsidRPr="001627AF" w:rsidTr="002B6219">
        <w:tc>
          <w:tcPr>
            <w:tcW w:w="729" w:type="dxa"/>
            <w:tcBorders>
              <w:top w:val="nil"/>
              <w:bottom w:val="single" w:sz="4" w:space="0" w:color="auto"/>
              <w:right w:val="nil"/>
            </w:tcBorders>
          </w:tcPr>
          <w:p w:rsidR="008A27EC" w:rsidRPr="001627AF" w:rsidRDefault="008A27EC" w:rsidP="001627AF">
            <w:pPr>
              <w:spacing w:before="120" w:after="120"/>
              <w:jc w:val="both"/>
              <w:rPr>
                <w:rFonts w:ascii="Arial" w:hAnsi="Arial" w:cs="Arial"/>
                <w:b/>
              </w:rPr>
            </w:pPr>
            <w:r w:rsidRPr="001627AF">
              <w:rPr>
                <w:rFonts w:ascii="Arial" w:hAnsi="Arial" w:cs="Arial"/>
                <w:b/>
              </w:rPr>
              <w:t>4g)</w:t>
            </w:r>
          </w:p>
        </w:tc>
        <w:tc>
          <w:tcPr>
            <w:tcW w:w="9531" w:type="dxa"/>
            <w:tcBorders>
              <w:top w:val="nil"/>
              <w:left w:val="nil"/>
              <w:bottom w:val="single" w:sz="4" w:space="0" w:color="auto"/>
            </w:tcBorders>
          </w:tcPr>
          <w:p w:rsidR="008A27EC" w:rsidRPr="001627AF" w:rsidRDefault="008A27EC" w:rsidP="001627AF">
            <w:pPr>
              <w:spacing w:before="120" w:after="120"/>
              <w:jc w:val="both"/>
              <w:rPr>
                <w:rFonts w:ascii="Arial" w:hAnsi="Arial" w:cs="Arial"/>
              </w:rPr>
            </w:pPr>
            <w:r w:rsidRPr="001627AF">
              <w:rPr>
                <w:rFonts w:ascii="Arial" w:hAnsi="Arial" w:cs="Arial"/>
              </w:rPr>
              <w:t>To be able to organise and manage own workload and be capable of making sound analytical assessment and decisions in relation to timescales.</w:t>
            </w:r>
          </w:p>
        </w:tc>
      </w:tr>
      <w:tr w:rsidR="008A27EC" w:rsidRPr="001627AF" w:rsidTr="002B6219">
        <w:tc>
          <w:tcPr>
            <w:tcW w:w="729" w:type="dxa"/>
            <w:tcBorders>
              <w:top w:val="single" w:sz="4" w:space="0" w:color="auto"/>
              <w:bottom w:val="nil"/>
              <w:right w:val="nil"/>
            </w:tcBorders>
          </w:tcPr>
          <w:p w:rsidR="008A27EC" w:rsidRPr="001627AF" w:rsidRDefault="008A27EC" w:rsidP="001627AF">
            <w:pPr>
              <w:spacing w:before="120" w:after="120"/>
              <w:jc w:val="both"/>
              <w:rPr>
                <w:rFonts w:ascii="Arial" w:hAnsi="Arial" w:cs="Arial"/>
                <w:b/>
              </w:rPr>
            </w:pPr>
            <w:r w:rsidRPr="001627AF">
              <w:rPr>
                <w:rFonts w:ascii="Arial" w:hAnsi="Arial" w:cs="Arial"/>
                <w:b/>
              </w:rPr>
              <w:t>4h)</w:t>
            </w:r>
          </w:p>
        </w:tc>
        <w:tc>
          <w:tcPr>
            <w:tcW w:w="9531" w:type="dxa"/>
            <w:tcBorders>
              <w:top w:val="single" w:sz="4" w:space="0" w:color="auto"/>
              <w:left w:val="nil"/>
              <w:bottom w:val="nil"/>
            </w:tcBorders>
          </w:tcPr>
          <w:p w:rsidR="008A27EC" w:rsidRPr="001627AF" w:rsidRDefault="008A27EC" w:rsidP="001627AF">
            <w:pPr>
              <w:spacing w:before="120" w:after="120"/>
              <w:jc w:val="both"/>
              <w:rPr>
                <w:rFonts w:ascii="Arial" w:hAnsi="Arial" w:cs="Arial"/>
              </w:rPr>
            </w:pPr>
            <w:r w:rsidRPr="001627AF">
              <w:rPr>
                <w:rFonts w:ascii="Arial" w:hAnsi="Arial" w:cs="Arial"/>
              </w:rPr>
              <w:t>To continuously review and develop customer services by regular review of customer interactions in order to identify areas for improvement including prompt assessment of instances where it is felt that the service provided was not satisfactory.</w:t>
            </w:r>
          </w:p>
        </w:tc>
      </w:tr>
      <w:tr w:rsidR="008A27EC" w:rsidRPr="001627AF" w:rsidTr="001627AF">
        <w:tc>
          <w:tcPr>
            <w:tcW w:w="729" w:type="dxa"/>
            <w:tcBorders>
              <w:top w:val="nil"/>
              <w:bottom w:val="nil"/>
              <w:right w:val="nil"/>
            </w:tcBorders>
          </w:tcPr>
          <w:p w:rsidR="008A27EC" w:rsidRPr="001627AF" w:rsidRDefault="008A27EC" w:rsidP="001627AF">
            <w:pPr>
              <w:spacing w:before="120" w:after="120"/>
              <w:jc w:val="both"/>
              <w:rPr>
                <w:rFonts w:ascii="Arial" w:hAnsi="Arial" w:cs="Arial"/>
                <w:b/>
              </w:rPr>
            </w:pPr>
            <w:r w:rsidRPr="001627AF">
              <w:rPr>
                <w:rFonts w:ascii="Arial" w:hAnsi="Arial" w:cs="Arial"/>
                <w:b/>
              </w:rPr>
              <w:t>4i)</w:t>
            </w:r>
          </w:p>
        </w:tc>
        <w:tc>
          <w:tcPr>
            <w:tcW w:w="9531" w:type="dxa"/>
            <w:tcBorders>
              <w:top w:val="nil"/>
              <w:left w:val="nil"/>
              <w:bottom w:val="nil"/>
            </w:tcBorders>
          </w:tcPr>
          <w:p w:rsidR="008A27EC" w:rsidRPr="001627AF" w:rsidRDefault="008A27EC" w:rsidP="00EB686D">
            <w:pPr>
              <w:spacing w:before="120" w:after="120"/>
              <w:jc w:val="both"/>
              <w:rPr>
                <w:rFonts w:ascii="Arial" w:hAnsi="Arial" w:cs="Arial"/>
              </w:rPr>
            </w:pPr>
            <w:r w:rsidRPr="001627AF">
              <w:rPr>
                <w:rFonts w:ascii="Arial" w:hAnsi="Arial" w:cs="Arial"/>
              </w:rPr>
              <w:t xml:space="preserve">To have good keyboarding skills and a working knowledge of a wide and complex range of information systems including input and interrogation into Carefirst, EMS, </w:t>
            </w:r>
            <w:r w:rsidR="00EB686D">
              <w:rPr>
                <w:rFonts w:ascii="Arial" w:hAnsi="Arial" w:cs="Arial"/>
              </w:rPr>
              <w:t>SAP</w:t>
            </w:r>
            <w:r w:rsidRPr="001627AF">
              <w:rPr>
                <w:rFonts w:ascii="Arial" w:hAnsi="Arial" w:cs="Arial"/>
              </w:rPr>
              <w:t xml:space="preserve"> and other systems as appropriate.</w:t>
            </w:r>
          </w:p>
        </w:tc>
      </w:tr>
      <w:tr w:rsidR="008A27EC" w:rsidRPr="001627AF" w:rsidTr="001627AF">
        <w:tc>
          <w:tcPr>
            <w:tcW w:w="729" w:type="dxa"/>
            <w:tcBorders>
              <w:top w:val="nil"/>
              <w:bottom w:val="single" w:sz="4" w:space="0" w:color="auto"/>
              <w:right w:val="nil"/>
            </w:tcBorders>
          </w:tcPr>
          <w:p w:rsidR="008A27EC" w:rsidRPr="001627AF" w:rsidRDefault="008A27EC" w:rsidP="001627AF">
            <w:pPr>
              <w:spacing w:before="120" w:after="120"/>
              <w:jc w:val="both"/>
              <w:rPr>
                <w:rFonts w:ascii="Arial" w:hAnsi="Arial" w:cs="Arial"/>
                <w:b/>
              </w:rPr>
            </w:pPr>
            <w:r w:rsidRPr="001627AF">
              <w:rPr>
                <w:rFonts w:ascii="Arial" w:hAnsi="Arial" w:cs="Arial"/>
                <w:b/>
              </w:rPr>
              <w:t>4j)</w:t>
            </w:r>
          </w:p>
        </w:tc>
        <w:tc>
          <w:tcPr>
            <w:tcW w:w="9531" w:type="dxa"/>
            <w:tcBorders>
              <w:top w:val="nil"/>
              <w:left w:val="nil"/>
              <w:bottom w:val="single" w:sz="4" w:space="0" w:color="auto"/>
            </w:tcBorders>
          </w:tcPr>
          <w:p w:rsidR="009E0852" w:rsidRPr="001627AF" w:rsidRDefault="008A27EC" w:rsidP="001627AF">
            <w:pPr>
              <w:spacing w:before="120" w:after="120"/>
              <w:jc w:val="both"/>
              <w:rPr>
                <w:rFonts w:ascii="Arial" w:hAnsi="Arial" w:cs="Arial"/>
              </w:rPr>
            </w:pPr>
            <w:r w:rsidRPr="001627AF">
              <w:rPr>
                <w:rFonts w:ascii="Arial" w:hAnsi="Arial" w:cs="Arial"/>
              </w:rPr>
              <w:t>To act as a contact point for external agencies and partner organisations who require information in relation to commissioning.</w:t>
            </w:r>
          </w:p>
        </w:tc>
      </w:tr>
      <w:tr w:rsidR="008A27EC" w:rsidRPr="001627AF" w:rsidTr="001627AF">
        <w:tc>
          <w:tcPr>
            <w:tcW w:w="729" w:type="dxa"/>
            <w:tcBorders>
              <w:top w:val="single" w:sz="4" w:space="0" w:color="auto"/>
              <w:bottom w:val="nil"/>
              <w:right w:val="nil"/>
            </w:tcBorders>
          </w:tcPr>
          <w:p w:rsidR="008A27EC" w:rsidRPr="001627AF" w:rsidRDefault="008A27EC" w:rsidP="001627AF">
            <w:pPr>
              <w:spacing w:before="120" w:after="120"/>
              <w:jc w:val="both"/>
              <w:rPr>
                <w:rFonts w:ascii="Arial" w:hAnsi="Arial" w:cs="Arial"/>
                <w:b/>
              </w:rPr>
            </w:pPr>
            <w:r w:rsidRPr="001627AF">
              <w:rPr>
                <w:rFonts w:ascii="Arial" w:hAnsi="Arial" w:cs="Arial"/>
                <w:b/>
              </w:rPr>
              <w:t>5a)</w:t>
            </w:r>
          </w:p>
        </w:tc>
        <w:tc>
          <w:tcPr>
            <w:tcW w:w="9531" w:type="dxa"/>
            <w:tcBorders>
              <w:top w:val="single" w:sz="4" w:space="0" w:color="auto"/>
              <w:left w:val="nil"/>
              <w:bottom w:val="nil"/>
            </w:tcBorders>
          </w:tcPr>
          <w:p w:rsidR="008A27EC" w:rsidRPr="001627AF" w:rsidRDefault="008A27EC" w:rsidP="001627AF">
            <w:pPr>
              <w:spacing w:before="120" w:after="120"/>
              <w:jc w:val="both"/>
              <w:rPr>
                <w:rFonts w:ascii="Arial" w:hAnsi="Arial" w:cs="Arial"/>
              </w:rPr>
            </w:pPr>
            <w:r w:rsidRPr="001627AF">
              <w:rPr>
                <w:rFonts w:ascii="Arial" w:hAnsi="Arial" w:cs="Arial"/>
              </w:rPr>
              <w:t>To be responsible for preparing accurate and timely quarterly and annual monitoring reports which reflect the outcomes achieved.</w:t>
            </w:r>
          </w:p>
        </w:tc>
      </w:tr>
      <w:tr w:rsidR="008A27EC" w:rsidRPr="001627AF" w:rsidTr="009E0852">
        <w:trPr>
          <w:trHeight w:val="735"/>
        </w:trPr>
        <w:tc>
          <w:tcPr>
            <w:tcW w:w="729" w:type="dxa"/>
            <w:tcBorders>
              <w:top w:val="nil"/>
              <w:bottom w:val="single" w:sz="4" w:space="0" w:color="000000" w:themeColor="text1"/>
              <w:right w:val="nil"/>
            </w:tcBorders>
          </w:tcPr>
          <w:p w:rsidR="008A27EC" w:rsidRPr="001627AF" w:rsidRDefault="008A27EC" w:rsidP="001627AF">
            <w:pPr>
              <w:spacing w:before="120" w:after="120"/>
              <w:jc w:val="both"/>
              <w:rPr>
                <w:rFonts w:ascii="Arial" w:hAnsi="Arial" w:cs="Arial"/>
                <w:b/>
              </w:rPr>
            </w:pPr>
            <w:r w:rsidRPr="001627AF">
              <w:rPr>
                <w:rFonts w:ascii="Arial" w:hAnsi="Arial" w:cs="Arial"/>
                <w:b/>
              </w:rPr>
              <w:t>5b)</w:t>
            </w:r>
          </w:p>
        </w:tc>
        <w:tc>
          <w:tcPr>
            <w:tcW w:w="9531" w:type="dxa"/>
            <w:tcBorders>
              <w:top w:val="nil"/>
              <w:left w:val="nil"/>
              <w:bottom w:val="single" w:sz="4" w:space="0" w:color="000000" w:themeColor="text1"/>
            </w:tcBorders>
          </w:tcPr>
          <w:p w:rsidR="009E0852" w:rsidRPr="001627AF" w:rsidRDefault="008A27EC" w:rsidP="001627AF">
            <w:pPr>
              <w:spacing w:before="120" w:after="120"/>
              <w:jc w:val="both"/>
              <w:rPr>
                <w:rFonts w:ascii="Arial" w:hAnsi="Arial" w:cs="Arial"/>
              </w:rPr>
            </w:pPr>
            <w:r w:rsidRPr="001627AF">
              <w:rPr>
                <w:rFonts w:ascii="Arial" w:hAnsi="Arial" w:cs="Arial"/>
              </w:rPr>
              <w:t>Where possible to bench outcomes with previous quarters and years and other providers or types of service where appropriate.</w:t>
            </w:r>
          </w:p>
        </w:tc>
      </w:tr>
      <w:tr w:rsidR="008A27EC" w:rsidRPr="001627AF" w:rsidTr="001627AF">
        <w:tc>
          <w:tcPr>
            <w:tcW w:w="729" w:type="dxa"/>
            <w:tcBorders>
              <w:top w:val="nil"/>
              <w:bottom w:val="single" w:sz="4" w:space="0" w:color="auto"/>
              <w:right w:val="nil"/>
            </w:tcBorders>
          </w:tcPr>
          <w:p w:rsidR="008A27EC" w:rsidRPr="001627AF" w:rsidRDefault="00F12E68" w:rsidP="001627AF">
            <w:pPr>
              <w:spacing w:before="120" w:after="120"/>
              <w:jc w:val="both"/>
              <w:rPr>
                <w:rFonts w:ascii="Arial" w:hAnsi="Arial" w:cs="Arial"/>
                <w:b/>
              </w:rPr>
            </w:pPr>
            <w:r w:rsidRPr="001627AF">
              <w:rPr>
                <w:rFonts w:ascii="Arial" w:hAnsi="Arial" w:cs="Arial"/>
                <w:b/>
              </w:rPr>
              <w:t>6a</w:t>
            </w:r>
            <w:r w:rsidR="008A27EC" w:rsidRPr="001627AF">
              <w:rPr>
                <w:rFonts w:ascii="Arial" w:hAnsi="Arial" w:cs="Arial"/>
                <w:b/>
              </w:rPr>
              <w:t>)</w:t>
            </w:r>
          </w:p>
        </w:tc>
        <w:tc>
          <w:tcPr>
            <w:tcW w:w="9531" w:type="dxa"/>
            <w:tcBorders>
              <w:top w:val="nil"/>
              <w:left w:val="nil"/>
              <w:bottom w:val="single" w:sz="4" w:space="0" w:color="auto"/>
            </w:tcBorders>
          </w:tcPr>
          <w:p w:rsidR="008A27EC" w:rsidRPr="001627AF" w:rsidRDefault="008A27EC" w:rsidP="001627AF">
            <w:pPr>
              <w:spacing w:before="120" w:after="120"/>
              <w:jc w:val="both"/>
              <w:rPr>
                <w:rFonts w:ascii="Arial" w:hAnsi="Arial" w:cs="Arial"/>
              </w:rPr>
            </w:pPr>
            <w:r w:rsidRPr="001627AF">
              <w:rPr>
                <w:rFonts w:ascii="Arial" w:hAnsi="Arial" w:cs="Arial"/>
              </w:rPr>
              <w:t>To carry out the specific tasks and duties in relation to the specialised areas of work.</w:t>
            </w:r>
          </w:p>
        </w:tc>
      </w:tr>
    </w:tbl>
    <w:p w:rsidR="008A27EC" w:rsidRPr="001627AF" w:rsidRDefault="008A27EC" w:rsidP="008A27EC">
      <w:pPr>
        <w:rPr>
          <w:rFonts w:ascii="Arial" w:hAnsi="Arial" w:cs="Arial"/>
        </w:rPr>
      </w:pPr>
    </w:p>
    <w:tbl>
      <w:tblPr>
        <w:tblW w:w="10260" w:type="dxa"/>
        <w:tblInd w:w="-252" w:type="dxa"/>
        <w:tblBorders>
          <w:insideH w:val="single" w:sz="4" w:space="0" w:color="auto"/>
          <w:insideV w:val="single" w:sz="4" w:space="0" w:color="auto"/>
        </w:tblBorders>
        <w:tblLayout w:type="fixed"/>
        <w:tblLook w:val="0000"/>
      </w:tblPr>
      <w:tblGrid>
        <w:gridCol w:w="10260"/>
      </w:tblGrid>
      <w:tr w:rsidR="008A27EC" w:rsidRPr="001627AF" w:rsidTr="001627AF">
        <w:trPr>
          <w:trHeight w:val="1488"/>
        </w:trPr>
        <w:tc>
          <w:tcPr>
            <w:tcW w:w="10260" w:type="dxa"/>
          </w:tcPr>
          <w:p w:rsidR="008A27EC" w:rsidRPr="001627AF" w:rsidRDefault="008A27EC" w:rsidP="001627AF">
            <w:pPr>
              <w:spacing w:before="120" w:after="120"/>
              <w:rPr>
                <w:rFonts w:ascii="Arial" w:hAnsi="Arial" w:cs="Arial"/>
              </w:rPr>
            </w:pPr>
            <w:r w:rsidRPr="001627AF">
              <w:rPr>
                <w:rFonts w:ascii="Arial" w:hAnsi="Arial" w:cs="Arial"/>
              </w:rPr>
              <w:t>The postholder must carry out their duties with full regard to the City Council’s Equal Opportunities, Health and Safety and Community Strategy policies.</w:t>
            </w:r>
          </w:p>
          <w:p w:rsidR="008A27EC" w:rsidRPr="001627AF" w:rsidRDefault="008A27EC" w:rsidP="001627AF">
            <w:pPr>
              <w:pStyle w:val="BodyText2"/>
              <w:rPr>
                <w:rFonts w:cs="Arial"/>
                <w:szCs w:val="22"/>
              </w:rPr>
            </w:pPr>
            <w:r w:rsidRPr="001627AF">
              <w:rPr>
                <w:rFonts w:cs="Arial"/>
                <w:szCs w:val="22"/>
              </w:rPr>
              <w:t>To contribute and demonstrate a commitment to the City Council’s Crime and Disorder Reduction Strategy.</w:t>
            </w:r>
          </w:p>
          <w:p w:rsidR="008A27EC" w:rsidRPr="001627AF" w:rsidRDefault="008A27EC" w:rsidP="001627AF">
            <w:pPr>
              <w:spacing w:before="120" w:after="120"/>
              <w:rPr>
                <w:rFonts w:ascii="Arial" w:hAnsi="Arial" w:cs="Arial"/>
              </w:rPr>
            </w:pPr>
            <w:r w:rsidRPr="001627AF">
              <w:rPr>
                <w:rFonts w:ascii="Arial" w:hAnsi="Arial" w:cs="Arial"/>
              </w:rPr>
              <w:t xml:space="preserve">To undertake any other such duties </w:t>
            </w:r>
            <w:proofErr w:type="gramStart"/>
            <w:r w:rsidRPr="001627AF">
              <w:rPr>
                <w:rFonts w:ascii="Arial" w:hAnsi="Arial" w:cs="Arial"/>
              </w:rPr>
              <w:t>that are</w:t>
            </w:r>
            <w:proofErr w:type="gramEnd"/>
            <w:r w:rsidRPr="001627AF">
              <w:rPr>
                <w:rFonts w:ascii="Arial" w:hAnsi="Arial" w:cs="Arial"/>
              </w:rPr>
              <w:t xml:space="preserve"> reasonably commensurate with the level of this post.</w:t>
            </w:r>
          </w:p>
        </w:tc>
      </w:tr>
    </w:tbl>
    <w:p w:rsidR="008A27EC" w:rsidRPr="001627AF" w:rsidRDefault="008A27EC" w:rsidP="008A27EC">
      <w:pPr>
        <w:ind w:left="-142" w:firstLine="284"/>
        <w:jc w:val="both"/>
        <w:rPr>
          <w:rFonts w:ascii="Arial" w:hAnsi="Arial" w:cs="Arial"/>
          <w:b/>
        </w:rPr>
      </w:pPr>
    </w:p>
    <w:tbl>
      <w:tblPr>
        <w:tblW w:w="1024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46"/>
      </w:tblGrid>
      <w:tr w:rsidR="008A27EC" w:rsidRPr="001627AF" w:rsidTr="001627AF">
        <w:tc>
          <w:tcPr>
            <w:tcW w:w="10246" w:type="dxa"/>
            <w:tcBorders>
              <w:top w:val="nil"/>
              <w:left w:val="nil"/>
              <w:bottom w:val="single" w:sz="4" w:space="0" w:color="auto"/>
              <w:right w:val="nil"/>
            </w:tcBorders>
            <w:vAlign w:val="center"/>
          </w:tcPr>
          <w:p w:rsidR="008A27EC" w:rsidRPr="001627AF" w:rsidRDefault="008A27EC" w:rsidP="001627AF">
            <w:pPr>
              <w:pStyle w:val="Heading6"/>
              <w:spacing w:before="120" w:after="120"/>
              <w:jc w:val="left"/>
              <w:rPr>
                <w:rFonts w:cs="Arial"/>
                <w:sz w:val="22"/>
                <w:szCs w:val="22"/>
              </w:rPr>
            </w:pPr>
            <w:r w:rsidRPr="001627AF">
              <w:rPr>
                <w:rFonts w:cs="Arial"/>
                <w:sz w:val="22"/>
                <w:szCs w:val="22"/>
              </w:rPr>
              <w:t>Review arrangements</w:t>
            </w:r>
          </w:p>
        </w:tc>
      </w:tr>
      <w:tr w:rsidR="008A27EC" w:rsidRPr="001627AF" w:rsidTr="001627AF">
        <w:tc>
          <w:tcPr>
            <w:tcW w:w="10246" w:type="dxa"/>
            <w:tcBorders>
              <w:top w:val="single" w:sz="4" w:space="0" w:color="auto"/>
              <w:bottom w:val="single" w:sz="4" w:space="0" w:color="auto"/>
            </w:tcBorders>
          </w:tcPr>
          <w:p w:rsidR="008A27EC" w:rsidRPr="001627AF" w:rsidRDefault="008A27EC" w:rsidP="001627AF">
            <w:pPr>
              <w:spacing w:before="120" w:after="120"/>
              <w:ind w:left="720" w:right="720"/>
              <w:jc w:val="both"/>
              <w:rPr>
                <w:rFonts w:ascii="Arial" w:hAnsi="Arial" w:cs="Arial"/>
                <w:b/>
              </w:rPr>
            </w:pPr>
            <w:r w:rsidRPr="001627AF">
              <w:rPr>
                <w:rFonts w:ascii="Arial" w:hAnsi="Arial" w:cs="Arial"/>
              </w:rPr>
              <w:t xml:space="preserve">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council will expect to revise this job description from time to time and will consult with the </w:t>
            </w:r>
            <w:r w:rsidR="0063534C" w:rsidRPr="001627AF">
              <w:rPr>
                <w:rFonts w:ascii="Arial" w:hAnsi="Arial" w:cs="Arial"/>
              </w:rPr>
              <w:t>post holder</w:t>
            </w:r>
            <w:r w:rsidRPr="001627AF">
              <w:rPr>
                <w:rFonts w:ascii="Arial" w:hAnsi="Arial" w:cs="Arial"/>
              </w:rPr>
              <w:t xml:space="preserve"> at the appropriate time.</w:t>
            </w:r>
          </w:p>
        </w:tc>
      </w:tr>
    </w:tbl>
    <w:p w:rsidR="008A27EC" w:rsidRPr="001627AF" w:rsidRDefault="008A27EC" w:rsidP="008A27EC">
      <w:pPr>
        <w:ind w:left="142" w:right="-327"/>
        <w:jc w:val="both"/>
        <w:rPr>
          <w:rFonts w:ascii="Arial" w:hAnsi="Arial" w:cs="Arial"/>
        </w:rPr>
      </w:pPr>
    </w:p>
    <w:p w:rsidR="008A27EC" w:rsidRPr="001627AF" w:rsidRDefault="008A27EC" w:rsidP="008A27EC">
      <w:pPr>
        <w:ind w:right="-327"/>
        <w:jc w:val="both"/>
        <w:rPr>
          <w:rFonts w:ascii="Arial" w:hAnsi="Arial" w:cs="Arial"/>
        </w:rPr>
      </w:pPr>
    </w:p>
    <w:tbl>
      <w:tblPr>
        <w:tblW w:w="10216" w:type="dxa"/>
        <w:tblInd w:w="-252" w:type="dxa"/>
        <w:tblLayout w:type="fixed"/>
        <w:tblLook w:val="0000"/>
      </w:tblPr>
      <w:tblGrid>
        <w:gridCol w:w="4770"/>
        <w:gridCol w:w="5446"/>
      </w:tblGrid>
      <w:tr w:rsidR="008A27EC" w:rsidRPr="001627AF" w:rsidTr="001627AF">
        <w:tc>
          <w:tcPr>
            <w:tcW w:w="4770" w:type="dxa"/>
            <w:vAlign w:val="bottom"/>
          </w:tcPr>
          <w:p w:rsidR="008A27EC" w:rsidRPr="001627AF" w:rsidRDefault="008A27EC" w:rsidP="001627AF">
            <w:pPr>
              <w:rPr>
                <w:rFonts w:ascii="Arial" w:hAnsi="Arial" w:cs="Arial"/>
                <w:b/>
              </w:rPr>
            </w:pPr>
            <w:r w:rsidRPr="001627AF">
              <w:rPr>
                <w:rFonts w:ascii="Arial" w:hAnsi="Arial" w:cs="Arial"/>
                <w:b/>
              </w:rPr>
              <w:t>Date Job Description prepared/revised:</w:t>
            </w:r>
          </w:p>
        </w:tc>
        <w:tc>
          <w:tcPr>
            <w:tcW w:w="5446" w:type="dxa"/>
            <w:tcBorders>
              <w:bottom w:val="single" w:sz="4" w:space="0" w:color="auto"/>
            </w:tcBorders>
          </w:tcPr>
          <w:p w:rsidR="008A27EC" w:rsidRPr="001627AF" w:rsidRDefault="008A27EC" w:rsidP="001627AF">
            <w:pPr>
              <w:rPr>
                <w:rFonts w:ascii="Arial" w:hAnsi="Arial" w:cs="Arial"/>
              </w:rPr>
            </w:pPr>
          </w:p>
        </w:tc>
      </w:tr>
      <w:tr w:rsidR="008A27EC" w:rsidRPr="001627AF" w:rsidTr="001627AF">
        <w:tc>
          <w:tcPr>
            <w:tcW w:w="4770" w:type="dxa"/>
            <w:vAlign w:val="bottom"/>
          </w:tcPr>
          <w:p w:rsidR="008A27EC" w:rsidRPr="001627AF" w:rsidRDefault="008A27EC" w:rsidP="001627AF">
            <w:pPr>
              <w:rPr>
                <w:rFonts w:ascii="Arial" w:hAnsi="Arial" w:cs="Arial"/>
                <w:b/>
              </w:rPr>
            </w:pPr>
            <w:r w:rsidRPr="001627AF">
              <w:rPr>
                <w:rFonts w:ascii="Arial" w:hAnsi="Arial" w:cs="Arial"/>
                <w:b/>
              </w:rPr>
              <w:t>Prepared/revised by:</w:t>
            </w:r>
          </w:p>
        </w:tc>
        <w:tc>
          <w:tcPr>
            <w:tcW w:w="5446" w:type="dxa"/>
            <w:tcBorders>
              <w:top w:val="single" w:sz="4" w:space="0" w:color="auto"/>
              <w:bottom w:val="single" w:sz="4" w:space="0" w:color="auto"/>
            </w:tcBorders>
          </w:tcPr>
          <w:p w:rsidR="008A27EC" w:rsidRPr="001627AF" w:rsidRDefault="008A27EC" w:rsidP="001627AF">
            <w:pPr>
              <w:rPr>
                <w:rFonts w:ascii="Arial" w:hAnsi="Arial" w:cs="Arial"/>
              </w:rPr>
            </w:pPr>
          </w:p>
        </w:tc>
      </w:tr>
      <w:tr w:rsidR="008A27EC" w:rsidRPr="001627AF" w:rsidTr="001627AF">
        <w:tc>
          <w:tcPr>
            <w:tcW w:w="4770" w:type="dxa"/>
            <w:vAlign w:val="bottom"/>
          </w:tcPr>
          <w:p w:rsidR="008A27EC" w:rsidRPr="001627AF" w:rsidRDefault="008A27EC" w:rsidP="001627AF">
            <w:pPr>
              <w:rPr>
                <w:rFonts w:ascii="Arial" w:hAnsi="Arial" w:cs="Arial"/>
                <w:b/>
              </w:rPr>
            </w:pPr>
            <w:r w:rsidRPr="001627AF">
              <w:rPr>
                <w:rFonts w:ascii="Arial" w:hAnsi="Arial" w:cs="Arial"/>
                <w:b/>
              </w:rPr>
              <w:t>Agreed job description signed by holder:</w:t>
            </w:r>
          </w:p>
        </w:tc>
        <w:tc>
          <w:tcPr>
            <w:tcW w:w="5446" w:type="dxa"/>
            <w:tcBorders>
              <w:top w:val="single" w:sz="4" w:space="0" w:color="auto"/>
              <w:bottom w:val="single" w:sz="4" w:space="0" w:color="auto"/>
            </w:tcBorders>
          </w:tcPr>
          <w:p w:rsidR="008A27EC" w:rsidRPr="001627AF" w:rsidRDefault="008A27EC" w:rsidP="001627AF">
            <w:pPr>
              <w:rPr>
                <w:rFonts w:ascii="Arial" w:hAnsi="Arial" w:cs="Arial"/>
              </w:rPr>
            </w:pPr>
          </w:p>
        </w:tc>
      </w:tr>
    </w:tbl>
    <w:p w:rsidR="008A27EC" w:rsidRPr="001627AF" w:rsidRDefault="008A27EC" w:rsidP="008A27EC">
      <w:pPr>
        <w:rPr>
          <w:rFonts w:ascii="Arial" w:hAnsi="Arial" w:cs="Arial"/>
        </w:rPr>
      </w:pPr>
    </w:p>
    <w:sectPr w:rsidR="008A27EC" w:rsidRPr="001627AF" w:rsidSect="00EA51E2">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11A" w:rsidRDefault="00CD111A" w:rsidP="0063534C">
      <w:pPr>
        <w:spacing w:after="0" w:line="240" w:lineRule="auto"/>
      </w:pPr>
      <w:r>
        <w:separator/>
      </w:r>
    </w:p>
  </w:endnote>
  <w:endnote w:type="continuationSeparator" w:id="0">
    <w:p w:rsidR="00CD111A" w:rsidRDefault="00CD111A" w:rsidP="006353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48147"/>
      <w:docPartObj>
        <w:docPartGallery w:val="Page Numbers (Bottom of Page)"/>
        <w:docPartUnique/>
      </w:docPartObj>
    </w:sdtPr>
    <w:sdtContent>
      <w:p w:rsidR="001627AF" w:rsidRDefault="003D3CFC">
        <w:pPr>
          <w:pStyle w:val="Footer"/>
          <w:jc w:val="center"/>
        </w:pPr>
        <w:fldSimple w:instr=" PAGE   \* MERGEFORMAT ">
          <w:r w:rsidR="00975138">
            <w:rPr>
              <w:noProof/>
            </w:rPr>
            <w:t>3</w:t>
          </w:r>
        </w:fldSimple>
      </w:p>
    </w:sdtContent>
  </w:sdt>
  <w:p w:rsidR="001627AF" w:rsidRDefault="001627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11A" w:rsidRDefault="00CD111A" w:rsidP="0063534C">
      <w:pPr>
        <w:spacing w:after="0" w:line="240" w:lineRule="auto"/>
      </w:pPr>
      <w:r>
        <w:separator/>
      </w:r>
    </w:p>
  </w:footnote>
  <w:footnote w:type="continuationSeparator" w:id="0">
    <w:p w:rsidR="00CD111A" w:rsidRDefault="00CD111A" w:rsidP="006353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C21A96"/>
    <w:multiLevelType w:val="hybridMultilevel"/>
    <w:tmpl w:val="1C7ABC5C"/>
    <w:lvl w:ilvl="0" w:tplc="0809000F">
      <w:start w:val="1"/>
      <w:numFmt w:val="decimal"/>
      <w:lvlText w:val="%1."/>
      <w:lvlJc w:val="left"/>
      <w:pPr>
        <w:tabs>
          <w:tab w:val="num" w:pos="360"/>
        </w:tabs>
        <w:ind w:left="360" w:hanging="360"/>
      </w:pPr>
      <w:rPr>
        <w:rFonts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A27EC"/>
    <w:rsid w:val="00001176"/>
    <w:rsid w:val="00002AE7"/>
    <w:rsid w:val="00004528"/>
    <w:rsid w:val="00006932"/>
    <w:rsid w:val="00011F90"/>
    <w:rsid w:val="00013B71"/>
    <w:rsid w:val="00013BE8"/>
    <w:rsid w:val="00025446"/>
    <w:rsid w:val="00026254"/>
    <w:rsid w:val="00026A2F"/>
    <w:rsid w:val="00026A71"/>
    <w:rsid w:val="0003130B"/>
    <w:rsid w:val="00031561"/>
    <w:rsid w:val="00032387"/>
    <w:rsid w:val="0003253E"/>
    <w:rsid w:val="000326E3"/>
    <w:rsid w:val="000342AF"/>
    <w:rsid w:val="00035032"/>
    <w:rsid w:val="00035807"/>
    <w:rsid w:val="00036BB6"/>
    <w:rsid w:val="000412E6"/>
    <w:rsid w:val="00042E99"/>
    <w:rsid w:val="00042FAE"/>
    <w:rsid w:val="000446AF"/>
    <w:rsid w:val="000468B9"/>
    <w:rsid w:val="000541EC"/>
    <w:rsid w:val="000546B5"/>
    <w:rsid w:val="00055AA1"/>
    <w:rsid w:val="00056ACB"/>
    <w:rsid w:val="00057415"/>
    <w:rsid w:val="000600D2"/>
    <w:rsid w:val="000607D7"/>
    <w:rsid w:val="000652DA"/>
    <w:rsid w:val="00065657"/>
    <w:rsid w:val="00065E99"/>
    <w:rsid w:val="0007082C"/>
    <w:rsid w:val="000716DD"/>
    <w:rsid w:val="00075419"/>
    <w:rsid w:val="00075AFA"/>
    <w:rsid w:val="00081EDC"/>
    <w:rsid w:val="0008482C"/>
    <w:rsid w:val="000869D9"/>
    <w:rsid w:val="0008730A"/>
    <w:rsid w:val="00091C9D"/>
    <w:rsid w:val="00092690"/>
    <w:rsid w:val="00092699"/>
    <w:rsid w:val="0009324D"/>
    <w:rsid w:val="000938CC"/>
    <w:rsid w:val="00094114"/>
    <w:rsid w:val="00095173"/>
    <w:rsid w:val="000959DD"/>
    <w:rsid w:val="00095E01"/>
    <w:rsid w:val="000A0BD6"/>
    <w:rsid w:val="000A2560"/>
    <w:rsid w:val="000A5B21"/>
    <w:rsid w:val="000B040A"/>
    <w:rsid w:val="000B5132"/>
    <w:rsid w:val="000B6EDB"/>
    <w:rsid w:val="000B7DBC"/>
    <w:rsid w:val="000C4393"/>
    <w:rsid w:val="000C6903"/>
    <w:rsid w:val="000C6DBE"/>
    <w:rsid w:val="000D22DF"/>
    <w:rsid w:val="000D3147"/>
    <w:rsid w:val="000E30D9"/>
    <w:rsid w:val="000E6079"/>
    <w:rsid w:val="000E7DCE"/>
    <w:rsid w:val="000E7F3D"/>
    <w:rsid w:val="000F22B2"/>
    <w:rsid w:val="000F349C"/>
    <w:rsid w:val="000F7325"/>
    <w:rsid w:val="000F7A8F"/>
    <w:rsid w:val="000F7AAD"/>
    <w:rsid w:val="0010089F"/>
    <w:rsid w:val="00100F05"/>
    <w:rsid w:val="00103E57"/>
    <w:rsid w:val="001040BC"/>
    <w:rsid w:val="001057AE"/>
    <w:rsid w:val="00107199"/>
    <w:rsid w:val="0011067A"/>
    <w:rsid w:val="00114979"/>
    <w:rsid w:val="00114982"/>
    <w:rsid w:val="0011560F"/>
    <w:rsid w:val="00115A04"/>
    <w:rsid w:val="00120827"/>
    <w:rsid w:val="00124D55"/>
    <w:rsid w:val="00127671"/>
    <w:rsid w:val="00127C6F"/>
    <w:rsid w:val="00127E93"/>
    <w:rsid w:val="00132C29"/>
    <w:rsid w:val="001341AC"/>
    <w:rsid w:val="00134670"/>
    <w:rsid w:val="00135041"/>
    <w:rsid w:val="001372E5"/>
    <w:rsid w:val="001400C7"/>
    <w:rsid w:val="0014423A"/>
    <w:rsid w:val="001500FE"/>
    <w:rsid w:val="00150460"/>
    <w:rsid w:val="00154900"/>
    <w:rsid w:val="00154B68"/>
    <w:rsid w:val="00154B70"/>
    <w:rsid w:val="001627AF"/>
    <w:rsid w:val="0016364B"/>
    <w:rsid w:val="00163A34"/>
    <w:rsid w:val="00171436"/>
    <w:rsid w:val="0017270E"/>
    <w:rsid w:val="00172781"/>
    <w:rsid w:val="00175ECB"/>
    <w:rsid w:val="0017688A"/>
    <w:rsid w:val="00180DE2"/>
    <w:rsid w:val="00181AB3"/>
    <w:rsid w:val="00193A3D"/>
    <w:rsid w:val="001A113D"/>
    <w:rsid w:val="001A6AA8"/>
    <w:rsid w:val="001A6E33"/>
    <w:rsid w:val="001B288A"/>
    <w:rsid w:val="001B31B7"/>
    <w:rsid w:val="001B5073"/>
    <w:rsid w:val="001C1EA6"/>
    <w:rsid w:val="001C59EA"/>
    <w:rsid w:val="001C6775"/>
    <w:rsid w:val="001C67BE"/>
    <w:rsid w:val="001C7177"/>
    <w:rsid w:val="001D044E"/>
    <w:rsid w:val="001D1978"/>
    <w:rsid w:val="001D26FB"/>
    <w:rsid w:val="001D42A5"/>
    <w:rsid w:val="001D5DB2"/>
    <w:rsid w:val="001D6BDD"/>
    <w:rsid w:val="001D7382"/>
    <w:rsid w:val="001D79A1"/>
    <w:rsid w:val="001E0C92"/>
    <w:rsid w:val="001E2721"/>
    <w:rsid w:val="001E64AC"/>
    <w:rsid w:val="001E6BDF"/>
    <w:rsid w:val="001F0EB8"/>
    <w:rsid w:val="001F1800"/>
    <w:rsid w:val="001F2274"/>
    <w:rsid w:val="001F3A98"/>
    <w:rsid w:val="001F44B9"/>
    <w:rsid w:val="001F537A"/>
    <w:rsid w:val="001F6D83"/>
    <w:rsid w:val="001F7D1D"/>
    <w:rsid w:val="0020224C"/>
    <w:rsid w:val="00202D02"/>
    <w:rsid w:val="002058CF"/>
    <w:rsid w:val="00205A46"/>
    <w:rsid w:val="00212EAD"/>
    <w:rsid w:val="002133DC"/>
    <w:rsid w:val="00214E17"/>
    <w:rsid w:val="00216B4D"/>
    <w:rsid w:val="00220A64"/>
    <w:rsid w:val="0022154C"/>
    <w:rsid w:val="00223D16"/>
    <w:rsid w:val="002256B8"/>
    <w:rsid w:val="00227AD7"/>
    <w:rsid w:val="002337E0"/>
    <w:rsid w:val="00234863"/>
    <w:rsid w:val="00235CD3"/>
    <w:rsid w:val="002402B1"/>
    <w:rsid w:val="0024187F"/>
    <w:rsid w:val="002441E8"/>
    <w:rsid w:val="00255759"/>
    <w:rsid w:val="00257EDA"/>
    <w:rsid w:val="00261624"/>
    <w:rsid w:val="00263FAD"/>
    <w:rsid w:val="002646F3"/>
    <w:rsid w:val="00264E03"/>
    <w:rsid w:val="0026657D"/>
    <w:rsid w:val="00266C82"/>
    <w:rsid w:val="0027087B"/>
    <w:rsid w:val="002759C7"/>
    <w:rsid w:val="00275A60"/>
    <w:rsid w:val="0027731E"/>
    <w:rsid w:val="0028056C"/>
    <w:rsid w:val="002822FC"/>
    <w:rsid w:val="00283652"/>
    <w:rsid w:val="00285B28"/>
    <w:rsid w:val="00290CB3"/>
    <w:rsid w:val="00291C41"/>
    <w:rsid w:val="00293CA8"/>
    <w:rsid w:val="00296781"/>
    <w:rsid w:val="002A33DA"/>
    <w:rsid w:val="002A6498"/>
    <w:rsid w:val="002A7D29"/>
    <w:rsid w:val="002B0CAD"/>
    <w:rsid w:val="002B0FC8"/>
    <w:rsid w:val="002B404C"/>
    <w:rsid w:val="002B529D"/>
    <w:rsid w:val="002B54C2"/>
    <w:rsid w:val="002B6219"/>
    <w:rsid w:val="002B7121"/>
    <w:rsid w:val="002C3145"/>
    <w:rsid w:val="002C4B5A"/>
    <w:rsid w:val="002C5407"/>
    <w:rsid w:val="002C7CDD"/>
    <w:rsid w:val="002D5688"/>
    <w:rsid w:val="002D59D3"/>
    <w:rsid w:val="002D63F5"/>
    <w:rsid w:val="002D6D3A"/>
    <w:rsid w:val="002E3ABD"/>
    <w:rsid w:val="002E3E5C"/>
    <w:rsid w:val="002F2966"/>
    <w:rsid w:val="002F2A79"/>
    <w:rsid w:val="002F2EFD"/>
    <w:rsid w:val="002F3315"/>
    <w:rsid w:val="002F4878"/>
    <w:rsid w:val="002F4B6C"/>
    <w:rsid w:val="002F567D"/>
    <w:rsid w:val="002F5F7F"/>
    <w:rsid w:val="00302C55"/>
    <w:rsid w:val="0030361E"/>
    <w:rsid w:val="00303CA6"/>
    <w:rsid w:val="003108DD"/>
    <w:rsid w:val="003129E3"/>
    <w:rsid w:val="00313195"/>
    <w:rsid w:val="00321234"/>
    <w:rsid w:val="00325DFA"/>
    <w:rsid w:val="00330A9E"/>
    <w:rsid w:val="003358A1"/>
    <w:rsid w:val="00335A27"/>
    <w:rsid w:val="00336FCA"/>
    <w:rsid w:val="0034397E"/>
    <w:rsid w:val="0034719A"/>
    <w:rsid w:val="003533E7"/>
    <w:rsid w:val="00361200"/>
    <w:rsid w:val="00366664"/>
    <w:rsid w:val="003674B1"/>
    <w:rsid w:val="003701BA"/>
    <w:rsid w:val="003770BA"/>
    <w:rsid w:val="00381813"/>
    <w:rsid w:val="00382997"/>
    <w:rsid w:val="003840CC"/>
    <w:rsid w:val="00390552"/>
    <w:rsid w:val="0039411F"/>
    <w:rsid w:val="00396079"/>
    <w:rsid w:val="00396857"/>
    <w:rsid w:val="003A0DB1"/>
    <w:rsid w:val="003A0E56"/>
    <w:rsid w:val="003A3F75"/>
    <w:rsid w:val="003A4846"/>
    <w:rsid w:val="003A6802"/>
    <w:rsid w:val="003A7219"/>
    <w:rsid w:val="003B4F72"/>
    <w:rsid w:val="003B6A65"/>
    <w:rsid w:val="003B6B98"/>
    <w:rsid w:val="003C242F"/>
    <w:rsid w:val="003C24EC"/>
    <w:rsid w:val="003C2857"/>
    <w:rsid w:val="003C436C"/>
    <w:rsid w:val="003C76DA"/>
    <w:rsid w:val="003D0752"/>
    <w:rsid w:val="003D0D66"/>
    <w:rsid w:val="003D3CFC"/>
    <w:rsid w:val="003D5FCA"/>
    <w:rsid w:val="003D6017"/>
    <w:rsid w:val="003D79F4"/>
    <w:rsid w:val="003E08EB"/>
    <w:rsid w:val="003E0E8C"/>
    <w:rsid w:val="003E1084"/>
    <w:rsid w:val="003E5A09"/>
    <w:rsid w:val="003E6535"/>
    <w:rsid w:val="003F13B1"/>
    <w:rsid w:val="003F24D8"/>
    <w:rsid w:val="003F3199"/>
    <w:rsid w:val="003F3EC4"/>
    <w:rsid w:val="003F57F8"/>
    <w:rsid w:val="003F7839"/>
    <w:rsid w:val="00400569"/>
    <w:rsid w:val="00401F13"/>
    <w:rsid w:val="00402C5F"/>
    <w:rsid w:val="0041113A"/>
    <w:rsid w:val="00416A88"/>
    <w:rsid w:val="00417403"/>
    <w:rsid w:val="00417C4E"/>
    <w:rsid w:val="0042079A"/>
    <w:rsid w:val="00421FEB"/>
    <w:rsid w:val="004221B1"/>
    <w:rsid w:val="00427ED6"/>
    <w:rsid w:val="00430408"/>
    <w:rsid w:val="00432270"/>
    <w:rsid w:val="00434C16"/>
    <w:rsid w:val="00434CF2"/>
    <w:rsid w:val="0043532D"/>
    <w:rsid w:val="00437F62"/>
    <w:rsid w:val="00440537"/>
    <w:rsid w:val="00440B99"/>
    <w:rsid w:val="00440FDC"/>
    <w:rsid w:val="004415D4"/>
    <w:rsid w:val="00442B27"/>
    <w:rsid w:val="00444446"/>
    <w:rsid w:val="004456C4"/>
    <w:rsid w:val="0045299C"/>
    <w:rsid w:val="004548DA"/>
    <w:rsid w:val="004668A9"/>
    <w:rsid w:val="004668E1"/>
    <w:rsid w:val="00466FC2"/>
    <w:rsid w:val="00474598"/>
    <w:rsid w:val="004750AA"/>
    <w:rsid w:val="00476735"/>
    <w:rsid w:val="00477812"/>
    <w:rsid w:val="00483043"/>
    <w:rsid w:val="0048435B"/>
    <w:rsid w:val="0049040A"/>
    <w:rsid w:val="00490BDB"/>
    <w:rsid w:val="004A180A"/>
    <w:rsid w:val="004A4BAD"/>
    <w:rsid w:val="004B1447"/>
    <w:rsid w:val="004B2A02"/>
    <w:rsid w:val="004B3514"/>
    <w:rsid w:val="004B7F6A"/>
    <w:rsid w:val="004C0245"/>
    <w:rsid w:val="004C104A"/>
    <w:rsid w:val="004C3A3D"/>
    <w:rsid w:val="004C5800"/>
    <w:rsid w:val="004C5CAA"/>
    <w:rsid w:val="004C6661"/>
    <w:rsid w:val="004C6E58"/>
    <w:rsid w:val="004D797E"/>
    <w:rsid w:val="004E108D"/>
    <w:rsid w:val="004E24E4"/>
    <w:rsid w:val="004E3C62"/>
    <w:rsid w:val="004F1CBA"/>
    <w:rsid w:val="004F54C5"/>
    <w:rsid w:val="004F570E"/>
    <w:rsid w:val="004F6756"/>
    <w:rsid w:val="00503398"/>
    <w:rsid w:val="00503736"/>
    <w:rsid w:val="00505B7A"/>
    <w:rsid w:val="00513E78"/>
    <w:rsid w:val="00514435"/>
    <w:rsid w:val="005223D1"/>
    <w:rsid w:val="00522B6C"/>
    <w:rsid w:val="00523D82"/>
    <w:rsid w:val="00524D91"/>
    <w:rsid w:val="00527271"/>
    <w:rsid w:val="0053778C"/>
    <w:rsid w:val="00537C97"/>
    <w:rsid w:val="00542282"/>
    <w:rsid w:val="005432E6"/>
    <w:rsid w:val="00544131"/>
    <w:rsid w:val="005473F2"/>
    <w:rsid w:val="0054756A"/>
    <w:rsid w:val="00547790"/>
    <w:rsid w:val="005518E6"/>
    <w:rsid w:val="00551C5D"/>
    <w:rsid w:val="0055330D"/>
    <w:rsid w:val="00554526"/>
    <w:rsid w:val="00561BA6"/>
    <w:rsid w:val="00561E5B"/>
    <w:rsid w:val="0056254E"/>
    <w:rsid w:val="00566D53"/>
    <w:rsid w:val="00567934"/>
    <w:rsid w:val="00570663"/>
    <w:rsid w:val="00570E0B"/>
    <w:rsid w:val="00577432"/>
    <w:rsid w:val="00583B84"/>
    <w:rsid w:val="0058476C"/>
    <w:rsid w:val="0058501A"/>
    <w:rsid w:val="00590731"/>
    <w:rsid w:val="0059328E"/>
    <w:rsid w:val="00593848"/>
    <w:rsid w:val="0059425F"/>
    <w:rsid w:val="00595B4B"/>
    <w:rsid w:val="005A0FD9"/>
    <w:rsid w:val="005A2061"/>
    <w:rsid w:val="005A261E"/>
    <w:rsid w:val="005A28CB"/>
    <w:rsid w:val="005A35CE"/>
    <w:rsid w:val="005A51F0"/>
    <w:rsid w:val="005A6B6E"/>
    <w:rsid w:val="005A726A"/>
    <w:rsid w:val="005B35E8"/>
    <w:rsid w:val="005B3E90"/>
    <w:rsid w:val="005B52DC"/>
    <w:rsid w:val="005B5C3F"/>
    <w:rsid w:val="005B7CBF"/>
    <w:rsid w:val="005B7CD8"/>
    <w:rsid w:val="005C1190"/>
    <w:rsid w:val="005C370F"/>
    <w:rsid w:val="005C496A"/>
    <w:rsid w:val="005C4FE4"/>
    <w:rsid w:val="005C5812"/>
    <w:rsid w:val="005D11F4"/>
    <w:rsid w:val="005D1602"/>
    <w:rsid w:val="005D4DAF"/>
    <w:rsid w:val="005F0AD6"/>
    <w:rsid w:val="005F657A"/>
    <w:rsid w:val="005F7D54"/>
    <w:rsid w:val="005F7F6E"/>
    <w:rsid w:val="006005EE"/>
    <w:rsid w:val="0060132C"/>
    <w:rsid w:val="00602057"/>
    <w:rsid w:val="00604589"/>
    <w:rsid w:val="00606C94"/>
    <w:rsid w:val="00607ED1"/>
    <w:rsid w:val="00607F7A"/>
    <w:rsid w:val="0061182F"/>
    <w:rsid w:val="00617366"/>
    <w:rsid w:val="00621F71"/>
    <w:rsid w:val="006236B1"/>
    <w:rsid w:val="006251DA"/>
    <w:rsid w:val="00625AE0"/>
    <w:rsid w:val="00630AC2"/>
    <w:rsid w:val="0063246A"/>
    <w:rsid w:val="00632850"/>
    <w:rsid w:val="00632D28"/>
    <w:rsid w:val="006333D3"/>
    <w:rsid w:val="006351E1"/>
    <w:rsid w:val="0063534C"/>
    <w:rsid w:val="00635473"/>
    <w:rsid w:val="00636E34"/>
    <w:rsid w:val="006411F2"/>
    <w:rsid w:val="0064152D"/>
    <w:rsid w:val="00641C0D"/>
    <w:rsid w:val="00644CEB"/>
    <w:rsid w:val="00645E96"/>
    <w:rsid w:val="006503F4"/>
    <w:rsid w:val="00652D7A"/>
    <w:rsid w:val="00652FC8"/>
    <w:rsid w:val="00657A9E"/>
    <w:rsid w:val="00661819"/>
    <w:rsid w:val="00661A21"/>
    <w:rsid w:val="00662AE8"/>
    <w:rsid w:val="00664686"/>
    <w:rsid w:val="00664865"/>
    <w:rsid w:val="006709E5"/>
    <w:rsid w:val="00673A2A"/>
    <w:rsid w:val="006752F4"/>
    <w:rsid w:val="00680796"/>
    <w:rsid w:val="0068191A"/>
    <w:rsid w:val="0068531E"/>
    <w:rsid w:val="006856CB"/>
    <w:rsid w:val="00685D7B"/>
    <w:rsid w:val="006868F2"/>
    <w:rsid w:val="00690943"/>
    <w:rsid w:val="0069299F"/>
    <w:rsid w:val="006A1799"/>
    <w:rsid w:val="006A5A19"/>
    <w:rsid w:val="006A7289"/>
    <w:rsid w:val="006B0D06"/>
    <w:rsid w:val="006B72B5"/>
    <w:rsid w:val="006B737E"/>
    <w:rsid w:val="006B7505"/>
    <w:rsid w:val="006C34DA"/>
    <w:rsid w:val="006C60AC"/>
    <w:rsid w:val="006C6DC4"/>
    <w:rsid w:val="006D2E6F"/>
    <w:rsid w:val="006D4BE8"/>
    <w:rsid w:val="006D5BF1"/>
    <w:rsid w:val="006E0B59"/>
    <w:rsid w:val="006E7451"/>
    <w:rsid w:val="006F08FD"/>
    <w:rsid w:val="006F2A4B"/>
    <w:rsid w:val="006F37E5"/>
    <w:rsid w:val="00706396"/>
    <w:rsid w:val="00710375"/>
    <w:rsid w:val="007107B8"/>
    <w:rsid w:val="00711C87"/>
    <w:rsid w:val="00713AFE"/>
    <w:rsid w:val="007172F7"/>
    <w:rsid w:val="00717BC9"/>
    <w:rsid w:val="00720923"/>
    <w:rsid w:val="00721C40"/>
    <w:rsid w:val="00722135"/>
    <w:rsid w:val="0072438F"/>
    <w:rsid w:val="00724CA5"/>
    <w:rsid w:val="00724D95"/>
    <w:rsid w:val="00726448"/>
    <w:rsid w:val="00726678"/>
    <w:rsid w:val="0073187A"/>
    <w:rsid w:val="007332B8"/>
    <w:rsid w:val="00735DC0"/>
    <w:rsid w:val="0073627F"/>
    <w:rsid w:val="0074191E"/>
    <w:rsid w:val="00741D4E"/>
    <w:rsid w:val="00744E42"/>
    <w:rsid w:val="007462E8"/>
    <w:rsid w:val="00750228"/>
    <w:rsid w:val="00751E74"/>
    <w:rsid w:val="007521AE"/>
    <w:rsid w:val="0075264F"/>
    <w:rsid w:val="007554A0"/>
    <w:rsid w:val="00755531"/>
    <w:rsid w:val="00756656"/>
    <w:rsid w:val="007639E0"/>
    <w:rsid w:val="00765655"/>
    <w:rsid w:val="007671DC"/>
    <w:rsid w:val="00770602"/>
    <w:rsid w:val="00771C84"/>
    <w:rsid w:val="007734BA"/>
    <w:rsid w:val="00774B5E"/>
    <w:rsid w:val="00781944"/>
    <w:rsid w:val="00786805"/>
    <w:rsid w:val="00787F6E"/>
    <w:rsid w:val="0079443E"/>
    <w:rsid w:val="007A02F6"/>
    <w:rsid w:val="007A1DAB"/>
    <w:rsid w:val="007A45E3"/>
    <w:rsid w:val="007A67FD"/>
    <w:rsid w:val="007B0234"/>
    <w:rsid w:val="007B2F84"/>
    <w:rsid w:val="007B3574"/>
    <w:rsid w:val="007B3585"/>
    <w:rsid w:val="007B3E1E"/>
    <w:rsid w:val="007B40CD"/>
    <w:rsid w:val="007B57EB"/>
    <w:rsid w:val="007B72CC"/>
    <w:rsid w:val="007B7AD8"/>
    <w:rsid w:val="007C11FB"/>
    <w:rsid w:val="007C2A99"/>
    <w:rsid w:val="007C3F22"/>
    <w:rsid w:val="007C4685"/>
    <w:rsid w:val="007C62A5"/>
    <w:rsid w:val="007C6A15"/>
    <w:rsid w:val="007D0C18"/>
    <w:rsid w:val="007D1675"/>
    <w:rsid w:val="007D337C"/>
    <w:rsid w:val="007D5131"/>
    <w:rsid w:val="007D65C0"/>
    <w:rsid w:val="007D6EA6"/>
    <w:rsid w:val="007E396B"/>
    <w:rsid w:val="007E46F8"/>
    <w:rsid w:val="007E7790"/>
    <w:rsid w:val="007F0732"/>
    <w:rsid w:val="007F1314"/>
    <w:rsid w:val="007F175C"/>
    <w:rsid w:val="007F4362"/>
    <w:rsid w:val="007F46F7"/>
    <w:rsid w:val="0080414D"/>
    <w:rsid w:val="00806FC8"/>
    <w:rsid w:val="008141D8"/>
    <w:rsid w:val="00815332"/>
    <w:rsid w:val="00815644"/>
    <w:rsid w:val="00822C19"/>
    <w:rsid w:val="00824AAF"/>
    <w:rsid w:val="00827119"/>
    <w:rsid w:val="00827F45"/>
    <w:rsid w:val="008310CA"/>
    <w:rsid w:val="0083157E"/>
    <w:rsid w:val="00831DDB"/>
    <w:rsid w:val="00832FFB"/>
    <w:rsid w:val="00834FE1"/>
    <w:rsid w:val="00836776"/>
    <w:rsid w:val="008369CB"/>
    <w:rsid w:val="0083736E"/>
    <w:rsid w:val="0085712D"/>
    <w:rsid w:val="00864D1F"/>
    <w:rsid w:val="00864E69"/>
    <w:rsid w:val="0086609F"/>
    <w:rsid w:val="008660DC"/>
    <w:rsid w:val="00866796"/>
    <w:rsid w:val="00866936"/>
    <w:rsid w:val="0086700B"/>
    <w:rsid w:val="00874015"/>
    <w:rsid w:val="00874B71"/>
    <w:rsid w:val="0087624A"/>
    <w:rsid w:val="00876DB8"/>
    <w:rsid w:val="00883FA5"/>
    <w:rsid w:val="00884D6F"/>
    <w:rsid w:val="008912C6"/>
    <w:rsid w:val="0089248D"/>
    <w:rsid w:val="008A0F5E"/>
    <w:rsid w:val="008A27EC"/>
    <w:rsid w:val="008A62D2"/>
    <w:rsid w:val="008A6AF3"/>
    <w:rsid w:val="008A7B4A"/>
    <w:rsid w:val="008B1485"/>
    <w:rsid w:val="008B20BF"/>
    <w:rsid w:val="008B594E"/>
    <w:rsid w:val="008B5F8D"/>
    <w:rsid w:val="008C172A"/>
    <w:rsid w:val="008C2A24"/>
    <w:rsid w:val="008C4018"/>
    <w:rsid w:val="008C6FA6"/>
    <w:rsid w:val="008C7B56"/>
    <w:rsid w:val="008C7B7B"/>
    <w:rsid w:val="008D0AAB"/>
    <w:rsid w:val="008D1826"/>
    <w:rsid w:val="008D4F86"/>
    <w:rsid w:val="008D648F"/>
    <w:rsid w:val="008D743C"/>
    <w:rsid w:val="008D7A11"/>
    <w:rsid w:val="008E2BFD"/>
    <w:rsid w:val="008E36AF"/>
    <w:rsid w:val="008E4661"/>
    <w:rsid w:val="008F1F7F"/>
    <w:rsid w:val="008F3448"/>
    <w:rsid w:val="008F3C90"/>
    <w:rsid w:val="008F5459"/>
    <w:rsid w:val="00903665"/>
    <w:rsid w:val="009047C9"/>
    <w:rsid w:val="00907333"/>
    <w:rsid w:val="00910BBE"/>
    <w:rsid w:val="00912340"/>
    <w:rsid w:val="0091554C"/>
    <w:rsid w:val="00917135"/>
    <w:rsid w:val="00923CA3"/>
    <w:rsid w:val="009264CA"/>
    <w:rsid w:val="00926942"/>
    <w:rsid w:val="009278FF"/>
    <w:rsid w:val="009320F4"/>
    <w:rsid w:val="00932B2C"/>
    <w:rsid w:val="00932C6D"/>
    <w:rsid w:val="009344F0"/>
    <w:rsid w:val="00935055"/>
    <w:rsid w:val="00935C0C"/>
    <w:rsid w:val="00936EA9"/>
    <w:rsid w:val="0094116D"/>
    <w:rsid w:val="0094621A"/>
    <w:rsid w:val="00950C13"/>
    <w:rsid w:val="00954A1D"/>
    <w:rsid w:val="00955618"/>
    <w:rsid w:val="00956156"/>
    <w:rsid w:val="00960698"/>
    <w:rsid w:val="0096083E"/>
    <w:rsid w:val="0096156B"/>
    <w:rsid w:val="00964C04"/>
    <w:rsid w:val="00964FDC"/>
    <w:rsid w:val="00967CC7"/>
    <w:rsid w:val="00967E5E"/>
    <w:rsid w:val="0097181F"/>
    <w:rsid w:val="00975138"/>
    <w:rsid w:val="009751A4"/>
    <w:rsid w:val="009771DC"/>
    <w:rsid w:val="009774EC"/>
    <w:rsid w:val="009877DF"/>
    <w:rsid w:val="00987824"/>
    <w:rsid w:val="0099244C"/>
    <w:rsid w:val="00993386"/>
    <w:rsid w:val="00995DF8"/>
    <w:rsid w:val="009A0CF3"/>
    <w:rsid w:val="009A54F3"/>
    <w:rsid w:val="009B2F6A"/>
    <w:rsid w:val="009B40C9"/>
    <w:rsid w:val="009B4D66"/>
    <w:rsid w:val="009C4FC2"/>
    <w:rsid w:val="009C568E"/>
    <w:rsid w:val="009C5A59"/>
    <w:rsid w:val="009C5BD6"/>
    <w:rsid w:val="009C6142"/>
    <w:rsid w:val="009D087E"/>
    <w:rsid w:val="009D2286"/>
    <w:rsid w:val="009D378B"/>
    <w:rsid w:val="009D4942"/>
    <w:rsid w:val="009D7CF0"/>
    <w:rsid w:val="009E0852"/>
    <w:rsid w:val="009E53A1"/>
    <w:rsid w:val="009E55C4"/>
    <w:rsid w:val="009E5848"/>
    <w:rsid w:val="009E6AA0"/>
    <w:rsid w:val="009E6C6C"/>
    <w:rsid w:val="009E6E7C"/>
    <w:rsid w:val="009E724D"/>
    <w:rsid w:val="009F0450"/>
    <w:rsid w:val="009F403B"/>
    <w:rsid w:val="009F4D5E"/>
    <w:rsid w:val="009F5075"/>
    <w:rsid w:val="009F63BD"/>
    <w:rsid w:val="009F7670"/>
    <w:rsid w:val="009F7CEC"/>
    <w:rsid w:val="00A01736"/>
    <w:rsid w:val="00A0241F"/>
    <w:rsid w:val="00A06AF8"/>
    <w:rsid w:val="00A11A04"/>
    <w:rsid w:val="00A14CCA"/>
    <w:rsid w:val="00A17816"/>
    <w:rsid w:val="00A17A0D"/>
    <w:rsid w:val="00A20766"/>
    <w:rsid w:val="00A239C8"/>
    <w:rsid w:val="00A23AF0"/>
    <w:rsid w:val="00A242CA"/>
    <w:rsid w:val="00A25B99"/>
    <w:rsid w:val="00A262CF"/>
    <w:rsid w:val="00A27302"/>
    <w:rsid w:val="00A31415"/>
    <w:rsid w:val="00A32E3C"/>
    <w:rsid w:val="00A34DF1"/>
    <w:rsid w:val="00A414AB"/>
    <w:rsid w:val="00A54C1F"/>
    <w:rsid w:val="00A60A72"/>
    <w:rsid w:val="00A61A8F"/>
    <w:rsid w:val="00A6299D"/>
    <w:rsid w:val="00A642CE"/>
    <w:rsid w:val="00A64956"/>
    <w:rsid w:val="00A6625F"/>
    <w:rsid w:val="00A66B1F"/>
    <w:rsid w:val="00A6747B"/>
    <w:rsid w:val="00A674DD"/>
    <w:rsid w:val="00A7460F"/>
    <w:rsid w:val="00A7471C"/>
    <w:rsid w:val="00A74799"/>
    <w:rsid w:val="00A74B97"/>
    <w:rsid w:val="00A76037"/>
    <w:rsid w:val="00A833CB"/>
    <w:rsid w:val="00A85D02"/>
    <w:rsid w:val="00A867E2"/>
    <w:rsid w:val="00A8757E"/>
    <w:rsid w:val="00A90E8B"/>
    <w:rsid w:val="00AA1CCB"/>
    <w:rsid w:val="00AA4581"/>
    <w:rsid w:val="00AA66DF"/>
    <w:rsid w:val="00AA7AB2"/>
    <w:rsid w:val="00AB289F"/>
    <w:rsid w:val="00AB422D"/>
    <w:rsid w:val="00AC0184"/>
    <w:rsid w:val="00AC66C4"/>
    <w:rsid w:val="00AC7957"/>
    <w:rsid w:val="00AD1191"/>
    <w:rsid w:val="00AD299B"/>
    <w:rsid w:val="00AD5946"/>
    <w:rsid w:val="00AD5C2B"/>
    <w:rsid w:val="00AD77B0"/>
    <w:rsid w:val="00AE15C3"/>
    <w:rsid w:val="00AE1F30"/>
    <w:rsid w:val="00AE3D99"/>
    <w:rsid w:val="00AE5881"/>
    <w:rsid w:val="00AE6895"/>
    <w:rsid w:val="00AE6DB5"/>
    <w:rsid w:val="00AE773B"/>
    <w:rsid w:val="00AF1D76"/>
    <w:rsid w:val="00AF4143"/>
    <w:rsid w:val="00AF424A"/>
    <w:rsid w:val="00B00702"/>
    <w:rsid w:val="00B02251"/>
    <w:rsid w:val="00B07AC8"/>
    <w:rsid w:val="00B10E62"/>
    <w:rsid w:val="00B17542"/>
    <w:rsid w:val="00B25469"/>
    <w:rsid w:val="00B34BEF"/>
    <w:rsid w:val="00B356D9"/>
    <w:rsid w:val="00B35E49"/>
    <w:rsid w:val="00B36A95"/>
    <w:rsid w:val="00B40DA5"/>
    <w:rsid w:val="00B4112F"/>
    <w:rsid w:val="00B41644"/>
    <w:rsid w:val="00B456FB"/>
    <w:rsid w:val="00B4608B"/>
    <w:rsid w:val="00B54CE5"/>
    <w:rsid w:val="00B55961"/>
    <w:rsid w:val="00B57109"/>
    <w:rsid w:val="00B6005C"/>
    <w:rsid w:val="00B60F97"/>
    <w:rsid w:val="00B61E3E"/>
    <w:rsid w:val="00B726B6"/>
    <w:rsid w:val="00B8031F"/>
    <w:rsid w:val="00B8140A"/>
    <w:rsid w:val="00B81D6A"/>
    <w:rsid w:val="00B867ED"/>
    <w:rsid w:val="00B86F6F"/>
    <w:rsid w:val="00B87865"/>
    <w:rsid w:val="00B90A37"/>
    <w:rsid w:val="00B9237A"/>
    <w:rsid w:val="00B92545"/>
    <w:rsid w:val="00B94F71"/>
    <w:rsid w:val="00B96949"/>
    <w:rsid w:val="00B96B05"/>
    <w:rsid w:val="00BA1091"/>
    <w:rsid w:val="00BA31A7"/>
    <w:rsid w:val="00BA3E7D"/>
    <w:rsid w:val="00BA41EF"/>
    <w:rsid w:val="00BA443A"/>
    <w:rsid w:val="00BA56D6"/>
    <w:rsid w:val="00BA658B"/>
    <w:rsid w:val="00BA6F25"/>
    <w:rsid w:val="00BB3915"/>
    <w:rsid w:val="00BB4CAD"/>
    <w:rsid w:val="00BB503B"/>
    <w:rsid w:val="00BB718B"/>
    <w:rsid w:val="00BC0F17"/>
    <w:rsid w:val="00BC14CF"/>
    <w:rsid w:val="00BC2F5E"/>
    <w:rsid w:val="00BD144F"/>
    <w:rsid w:val="00BD1678"/>
    <w:rsid w:val="00BD1C22"/>
    <w:rsid w:val="00BD2406"/>
    <w:rsid w:val="00BD3CD8"/>
    <w:rsid w:val="00BD5ED6"/>
    <w:rsid w:val="00BE5925"/>
    <w:rsid w:val="00BE5D05"/>
    <w:rsid w:val="00BE6799"/>
    <w:rsid w:val="00BF26F1"/>
    <w:rsid w:val="00BF4AD2"/>
    <w:rsid w:val="00BF5FCC"/>
    <w:rsid w:val="00C02E9D"/>
    <w:rsid w:val="00C06A26"/>
    <w:rsid w:val="00C1134F"/>
    <w:rsid w:val="00C11DC9"/>
    <w:rsid w:val="00C11E4A"/>
    <w:rsid w:val="00C1246B"/>
    <w:rsid w:val="00C1340B"/>
    <w:rsid w:val="00C1341B"/>
    <w:rsid w:val="00C14DAC"/>
    <w:rsid w:val="00C15C44"/>
    <w:rsid w:val="00C1669F"/>
    <w:rsid w:val="00C2139F"/>
    <w:rsid w:val="00C217CF"/>
    <w:rsid w:val="00C21A77"/>
    <w:rsid w:val="00C22A4A"/>
    <w:rsid w:val="00C23E5B"/>
    <w:rsid w:val="00C27F2B"/>
    <w:rsid w:val="00C30C0A"/>
    <w:rsid w:val="00C35326"/>
    <w:rsid w:val="00C36F41"/>
    <w:rsid w:val="00C445D9"/>
    <w:rsid w:val="00C50579"/>
    <w:rsid w:val="00C50885"/>
    <w:rsid w:val="00C62925"/>
    <w:rsid w:val="00C65791"/>
    <w:rsid w:val="00C677B0"/>
    <w:rsid w:val="00C721C7"/>
    <w:rsid w:val="00C75DB1"/>
    <w:rsid w:val="00C77CD9"/>
    <w:rsid w:val="00C801ED"/>
    <w:rsid w:val="00C80D25"/>
    <w:rsid w:val="00C81E18"/>
    <w:rsid w:val="00C82392"/>
    <w:rsid w:val="00C83BB7"/>
    <w:rsid w:val="00C8741C"/>
    <w:rsid w:val="00C935F2"/>
    <w:rsid w:val="00C94B89"/>
    <w:rsid w:val="00C96AC1"/>
    <w:rsid w:val="00C970F0"/>
    <w:rsid w:val="00C97899"/>
    <w:rsid w:val="00CA131B"/>
    <w:rsid w:val="00CA1739"/>
    <w:rsid w:val="00CB26CD"/>
    <w:rsid w:val="00CB27C1"/>
    <w:rsid w:val="00CB2B9E"/>
    <w:rsid w:val="00CB2C3B"/>
    <w:rsid w:val="00CB3FFB"/>
    <w:rsid w:val="00CB6A56"/>
    <w:rsid w:val="00CC0B0F"/>
    <w:rsid w:val="00CC21FE"/>
    <w:rsid w:val="00CC2C7F"/>
    <w:rsid w:val="00CC41A6"/>
    <w:rsid w:val="00CC65BE"/>
    <w:rsid w:val="00CD111A"/>
    <w:rsid w:val="00CD38DD"/>
    <w:rsid w:val="00CD52A0"/>
    <w:rsid w:val="00CD57D9"/>
    <w:rsid w:val="00CD67F2"/>
    <w:rsid w:val="00CE0629"/>
    <w:rsid w:val="00CE090F"/>
    <w:rsid w:val="00CE229E"/>
    <w:rsid w:val="00CE2CA1"/>
    <w:rsid w:val="00CE3998"/>
    <w:rsid w:val="00CE42BD"/>
    <w:rsid w:val="00CE6258"/>
    <w:rsid w:val="00CF0984"/>
    <w:rsid w:val="00CF0E75"/>
    <w:rsid w:val="00CF1DEA"/>
    <w:rsid w:val="00CF2382"/>
    <w:rsid w:val="00CF239C"/>
    <w:rsid w:val="00CF7F57"/>
    <w:rsid w:val="00D00688"/>
    <w:rsid w:val="00D00D6C"/>
    <w:rsid w:val="00D01DBD"/>
    <w:rsid w:val="00D0237F"/>
    <w:rsid w:val="00D05522"/>
    <w:rsid w:val="00D0599B"/>
    <w:rsid w:val="00D1327F"/>
    <w:rsid w:val="00D202FF"/>
    <w:rsid w:val="00D2078F"/>
    <w:rsid w:val="00D2372B"/>
    <w:rsid w:val="00D26C10"/>
    <w:rsid w:val="00D36940"/>
    <w:rsid w:val="00D37D16"/>
    <w:rsid w:val="00D40CB2"/>
    <w:rsid w:val="00D446E1"/>
    <w:rsid w:val="00D46C24"/>
    <w:rsid w:val="00D52961"/>
    <w:rsid w:val="00D5742E"/>
    <w:rsid w:val="00D65E5F"/>
    <w:rsid w:val="00D67536"/>
    <w:rsid w:val="00D70585"/>
    <w:rsid w:val="00D731D5"/>
    <w:rsid w:val="00D75CC4"/>
    <w:rsid w:val="00D75D25"/>
    <w:rsid w:val="00D8298B"/>
    <w:rsid w:val="00D82E49"/>
    <w:rsid w:val="00D834E1"/>
    <w:rsid w:val="00D83FEF"/>
    <w:rsid w:val="00D87AD7"/>
    <w:rsid w:val="00D908F3"/>
    <w:rsid w:val="00D91D37"/>
    <w:rsid w:val="00D929D4"/>
    <w:rsid w:val="00D9730E"/>
    <w:rsid w:val="00DA1C00"/>
    <w:rsid w:val="00DA2273"/>
    <w:rsid w:val="00DA238F"/>
    <w:rsid w:val="00DB2E52"/>
    <w:rsid w:val="00DB49CA"/>
    <w:rsid w:val="00DB6A93"/>
    <w:rsid w:val="00DC0DAC"/>
    <w:rsid w:val="00DC40B8"/>
    <w:rsid w:val="00DC6B25"/>
    <w:rsid w:val="00DD07BB"/>
    <w:rsid w:val="00DD09B7"/>
    <w:rsid w:val="00DD2406"/>
    <w:rsid w:val="00DD44EC"/>
    <w:rsid w:val="00DD75FA"/>
    <w:rsid w:val="00DE079A"/>
    <w:rsid w:val="00DE3907"/>
    <w:rsid w:val="00DE406F"/>
    <w:rsid w:val="00DE4DC6"/>
    <w:rsid w:val="00DE735E"/>
    <w:rsid w:val="00DF1483"/>
    <w:rsid w:val="00DF70F1"/>
    <w:rsid w:val="00E05AB6"/>
    <w:rsid w:val="00E1147D"/>
    <w:rsid w:val="00E1250B"/>
    <w:rsid w:val="00E1331A"/>
    <w:rsid w:val="00E1374B"/>
    <w:rsid w:val="00E14F63"/>
    <w:rsid w:val="00E21950"/>
    <w:rsid w:val="00E22169"/>
    <w:rsid w:val="00E2350B"/>
    <w:rsid w:val="00E254A8"/>
    <w:rsid w:val="00E3170A"/>
    <w:rsid w:val="00E33386"/>
    <w:rsid w:val="00E34293"/>
    <w:rsid w:val="00E34AF2"/>
    <w:rsid w:val="00E400F7"/>
    <w:rsid w:val="00E40939"/>
    <w:rsid w:val="00E42760"/>
    <w:rsid w:val="00E47262"/>
    <w:rsid w:val="00E516CE"/>
    <w:rsid w:val="00E517F1"/>
    <w:rsid w:val="00E51B50"/>
    <w:rsid w:val="00E547A5"/>
    <w:rsid w:val="00E6551A"/>
    <w:rsid w:val="00E674DA"/>
    <w:rsid w:val="00E707BD"/>
    <w:rsid w:val="00E747A7"/>
    <w:rsid w:val="00E75630"/>
    <w:rsid w:val="00E80B98"/>
    <w:rsid w:val="00E847E7"/>
    <w:rsid w:val="00E86DCD"/>
    <w:rsid w:val="00E92FA9"/>
    <w:rsid w:val="00E930B6"/>
    <w:rsid w:val="00E94D87"/>
    <w:rsid w:val="00EA09E6"/>
    <w:rsid w:val="00EA51E2"/>
    <w:rsid w:val="00EB1818"/>
    <w:rsid w:val="00EB2973"/>
    <w:rsid w:val="00EB30F6"/>
    <w:rsid w:val="00EB3B12"/>
    <w:rsid w:val="00EB5166"/>
    <w:rsid w:val="00EB5E21"/>
    <w:rsid w:val="00EB5FDC"/>
    <w:rsid w:val="00EB686D"/>
    <w:rsid w:val="00EC20BF"/>
    <w:rsid w:val="00EC3ED2"/>
    <w:rsid w:val="00ED2A3F"/>
    <w:rsid w:val="00ED5138"/>
    <w:rsid w:val="00ED605F"/>
    <w:rsid w:val="00EE00B3"/>
    <w:rsid w:val="00EE0CFC"/>
    <w:rsid w:val="00EE3370"/>
    <w:rsid w:val="00EE66BB"/>
    <w:rsid w:val="00EF07D1"/>
    <w:rsid w:val="00EF2995"/>
    <w:rsid w:val="00EF2FAB"/>
    <w:rsid w:val="00EF384E"/>
    <w:rsid w:val="00EF5089"/>
    <w:rsid w:val="00EF7878"/>
    <w:rsid w:val="00EF7F09"/>
    <w:rsid w:val="00F001AF"/>
    <w:rsid w:val="00F01E87"/>
    <w:rsid w:val="00F04590"/>
    <w:rsid w:val="00F06159"/>
    <w:rsid w:val="00F07EFE"/>
    <w:rsid w:val="00F12E68"/>
    <w:rsid w:val="00F13017"/>
    <w:rsid w:val="00F13963"/>
    <w:rsid w:val="00F1524D"/>
    <w:rsid w:val="00F21C45"/>
    <w:rsid w:val="00F244F1"/>
    <w:rsid w:val="00F24D42"/>
    <w:rsid w:val="00F25FA0"/>
    <w:rsid w:val="00F267CB"/>
    <w:rsid w:val="00F30293"/>
    <w:rsid w:val="00F3096C"/>
    <w:rsid w:val="00F3257E"/>
    <w:rsid w:val="00F35B35"/>
    <w:rsid w:val="00F44B52"/>
    <w:rsid w:val="00F50A60"/>
    <w:rsid w:val="00F5148B"/>
    <w:rsid w:val="00F53801"/>
    <w:rsid w:val="00F66019"/>
    <w:rsid w:val="00F72B73"/>
    <w:rsid w:val="00F72DB9"/>
    <w:rsid w:val="00F752C7"/>
    <w:rsid w:val="00F76781"/>
    <w:rsid w:val="00F8051D"/>
    <w:rsid w:val="00F833DD"/>
    <w:rsid w:val="00F844EF"/>
    <w:rsid w:val="00F856DE"/>
    <w:rsid w:val="00F86B0B"/>
    <w:rsid w:val="00F8764A"/>
    <w:rsid w:val="00F8764D"/>
    <w:rsid w:val="00F90724"/>
    <w:rsid w:val="00F90B24"/>
    <w:rsid w:val="00F95A7C"/>
    <w:rsid w:val="00F95B9A"/>
    <w:rsid w:val="00F96C86"/>
    <w:rsid w:val="00F97B43"/>
    <w:rsid w:val="00F97B63"/>
    <w:rsid w:val="00FA0D17"/>
    <w:rsid w:val="00FA4FFE"/>
    <w:rsid w:val="00FB397E"/>
    <w:rsid w:val="00FB3DA6"/>
    <w:rsid w:val="00FB481A"/>
    <w:rsid w:val="00FC0B3A"/>
    <w:rsid w:val="00FC3256"/>
    <w:rsid w:val="00FC37CF"/>
    <w:rsid w:val="00FC5E65"/>
    <w:rsid w:val="00FC63C0"/>
    <w:rsid w:val="00FC6DEA"/>
    <w:rsid w:val="00FC76FF"/>
    <w:rsid w:val="00FD1B70"/>
    <w:rsid w:val="00FD297F"/>
    <w:rsid w:val="00FD2FA7"/>
    <w:rsid w:val="00FD58CA"/>
    <w:rsid w:val="00FD5B38"/>
    <w:rsid w:val="00FE521C"/>
    <w:rsid w:val="00FF024D"/>
    <w:rsid w:val="00FF33CF"/>
    <w:rsid w:val="00FF502C"/>
    <w:rsid w:val="00FF5480"/>
    <w:rsid w:val="00FF73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7EC"/>
    <w:rPr>
      <w:rFonts w:ascii="Calibri" w:eastAsia="Calibri" w:hAnsi="Calibri" w:cs="Times New Roman"/>
    </w:rPr>
  </w:style>
  <w:style w:type="paragraph" w:styleId="Heading1">
    <w:name w:val="heading 1"/>
    <w:basedOn w:val="Normal"/>
    <w:next w:val="Normal"/>
    <w:link w:val="Heading1Char"/>
    <w:qFormat/>
    <w:rsid w:val="008A27EC"/>
    <w:pPr>
      <w:keepNext/>
      <w:spacing w:before="60" w:after="60" w:line="240" w:lineRule="auto"/>
      <w:outlineLvl w:val="0"/>
    </w:pPr>
    <w:rPr>
      <w:rFonts w:ascii="Arial" w:eastAsia="Times New Roman" w:hAnsi="Arial"/>
      <w:b/>
      <w:sz w:val="24"/>
      <w:szCs w:val="20"/>
    </w:rPr>
  </w:style>
  <w:style w:type="paragraph" w:styleId="Heading2">
    <w:name w:val="heading 2"/>
    <w:basedOn w:val="Normal"/>
    <w:next w:val="Normal"/>
    <w:link w:val="Heading2Char"/>
    <w:qFormat/>
    <w:rsid w:val="008A27EC"/>
    <w:pPr>
      <w:keepNext/>
      <w:spacing w:before="60" w:after="60" w:line="240" w:lineRule="auto"/>
      <w:outlineLvl w:val="1"/>
    </w:pPr>
    <w:rPr>
      <w:rFonts w:ascii="Helvetica" w:eastAsia="Times New Roman" w:hAnsi="Helvetica"/>
      <w:b/>
      <w:sz w:val="20"/>
      <w:szCs w:val="20"/>
    </w:rPr>
  </w:style>
  <w:style w:type="paragraph" w:styleId="Heading6">
    <w:name w:val="heading 6"/>
    <w:basedOn w:val="Normal"/>
    <w:next w:val="Normal"/>
    <w:link w:val="Heading6Char"/>
    <w:qFormat/>
    <w:rsid w:val="008A27EC"/>
    <w:pPr>
      <w:keepNext/>
      <w:spacing w:before="60" w:after="60" w:line="240" w:lineRule="auto"/>
      <w:jc w:val="both"/>
      <w:outlineLvl w:val="5"/>
    </w:pPr>
    <w:rPr>
      <w:rFonts w:ascii="Arial" w:eastAsia="Times New Roman" w:hAnsi="Arial"/>
      <w:b/>
      <w:sz w:val="24"/>
      <w:szCs w:val="20"/>
    </w:rPr>
  </w:style>
  <w:style w:type="paragraph" w:styleId="Heading7">
    <w:name w:val="heading 7"/>
    <w:basedOn w:val="Normal"/>
    <w:next w:val="Normal"/>
    <w:link w:val="Heading7Char"/>
    <w:uiPriority w:val="9"/>
    <w:semiHidden/>
    <w:unhideWhenUsed/>
    <w:qFormat/>
    <w:rsid w:val="008A27EC"/>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27EC"/>
    <w:rPr>
      <w:rFonts w:ascii="Arial" w:eastAsia="Times New Roman" w:hAnsi="Arial" w:cs="Times New Roman"/>
      <w:b/>
      <w:sz w:val="24"/>
      <w:szCs w:val="20"/>
    </w:rPr>
  </w:style>
  <w:style w:type="character" w:customStyle="1" w:styleId="Heading2Char">
    <w:name w:val="Heading 2 Char"/>
    <w:basedOn w:val="DefaultParagraphFont"/>
    <w:link w:val="Heading2"/>
    <w:rsid w:val="008A27EC"/>
    <w:rPr>
      <w:rFonts w:ascii="Helvetica" w:eastAsia="Times New Roman" w:hAnsi="Helvetica" w:cs="Times New Roman"/>
      <w:b/>
      <w:sz w:val="20"/>
      <w:szCs w:val="20"/>
    </w:rPr>
  </w:style>
  <w:style w:type="character" w:customStyle="1" w:styleId="Heading6Char">
    <w:name w:val="Heading 6 Char"/>
    <w:basedOn w:val="DefaultParagraphFont"/>
    <w:link w:val="Heading6"/>
    <w:rsid w:val="008A27EC"/>
    <w:rPr>
      <w:rFonts w:ascii="Arial" w:eastAsia="Times New Roman" w:hAnsi="Arial" w:cs="Times New Roman"/>
      <w:b/>
      <w:sz w:val="24"/>
      <w:szCs w:val="20"/>
    </w:rPr>
  </w:style>
  <w:style w:type="character" w:customStyle="1" w:styleId="Heading7Char">
    <w:name w:val="Heading 7 Char"/>
    <w:basedOn w:val="DefaultParagraphFont"/>
    <w:link w:val="Heading7"/>
    <w:uiPriority w:val="9"/>
    <w:semiHidden/>
    <w:rsid w:val="008A27EC"/>
    <w:rPr>
      <w:rFonts w:ascii="Calibri" w:eastAsia="Times New Roman" w:hAnsi="Calibri" w:cs="Times New Roman"/>
      <w:sz w:val="24"/>
      <w:szCs w:val="24"/>
    </w:rPr>
  </w:style>
  <w:style w:type="paragraph" w:styleId="BodyText2">
    <w:name w:val="Body Text 2"/>
    <w:basedOn w:val="Normal"/>
    <w:link w:val="BodyText2Char"/>
    <w:rsid w:val="008A27EC"/>
    <w:pPr>
      <w:spacing w:before="60" w:after="60" w:line="240" w:lineRule="auto"/>
    </w:pPr>
    <w:rPr>
      <w:rFonts w:ascii="Arial" w:eastAsia="Times New Roman" w:hAnsi="Arial"/>
      <w:szCs w:val="20"/>
    </w:rPr>
  </w:style>
  <w:style w:type="character" w:customStyle="1" w:styleId="BodyText2Char">
    <w:name w:val="Body Text 2 Char"/>
    <w:basedOn w:val="DefaultParagraphFont"/>
    <w:link w:val="BodyText2"/>
    <w:rsid w:val="008A27EC"/>
    <w:rPr>
      <w:rFonts w:ascii="Arial" w:eastAsia="Times New Roman" w:hAnsi="Arial" w:cs="Times New Roman"/>
      <w:szCs w:val="20"/>
    </w:rPr>
  </w:style>
  <w:style w:type="paragraph" w:styleId="Header">
    <w:name w:val="header"/>
    <w:basedOn w:val="Normal"/>
    <w:link w:val="HeaderChar"/>
    <w:uiPriority w:val="99"/>
    <w:semiHidden/>
    <w:unhideWhenUsed/>
    <w:rsid w:val="0063534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3534C"/>
    <w:rPr>
      <w:rFonts w:ascii="Calibri" w:eastAsia="Calibri" w:hAnsi="Calibri" w:cs="Times New Roman"/>
    </w:rPr>
  </w:style>
  <w:style w:type="paragraph" w:styleId="Footer">
    <w:name w:val="footer"/>
    <w:basedOn w:val="Normal"/>
    <w:link w:val="FooterChar"/>
    <w:uiPriority w:val="99"/>
    <w:unhideWhenUsed/>
    <w:rsid w:val="006353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34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78906-7EC4-4F26-A5BE-F1597DE7D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chsdpclark</dc:creator>
  <cp:lastModifiedBy>georgiana.matoianu</cp:lastModifiedBy>
  <cp:revision>1</cp:revision>
  <cp:lastPrinted>2017-04-13T10:51:00Z</cp:lastPrinted>
  <dcterms:created xsi:type="dcterms:W3CDTF">2019-03-26T12:19:00Z</dcterms:created>
  <dcterms:modified xsi:type="dcterms:W3CDTF">2019-03-26T12:19:00Z</dcterms:modified>
</cp:coreProperties>
</file>