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436E" w:rsidRDefault="005D5FEE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>
            <wp:extent cx="3009265" cy="815340"/>
            <wp:effectExtent l="0" t="0" r="0" b="0"/>
            <wp:docPr id="2" name="image1.jpg" descr="F:\PR\sharples-rgb\sharples-logo-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PR\sharples-rgb\sharples-logo-cmyk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81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436E" w:rsidRDefault="005D5FEE">
      <w:pPr>
        <w:jc w:val="center"/>
        <w:rPr>
          <w:rFonts w:ascii="Arial" w:eastAsia="Arial" w:hAnsi="Arial" w:cs="Arial"/>
          <w:sz w:val="28"/>
          <w:szCs w:val="28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 ‘This is a good school’ Ofsted (May 2019)</w:t>
      </w:r>
    </w:p>
    <w:p w:rsidR="00D5436E" w:rsidRDefault="005D5FEE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‘We will endeavour to be a learning community with a culture that promotes excellence, equality and high expectations for students, staff, parents and governors.’</w:t>
      </w:r>
    </w:p>
    <w:p w:rsidR="00D5436E" w:rsidRDefault="00D5436E">
      <w:pPr>
        <w:spacing w:after="0" w:line="240" w:lineRule="auto"/>
        <w:rPr>
          <w:rFonts w:ascii="Arial" w:eastAsia="Arial" w:hAnsi="Arial" w:cs="Arial"/>
        </w:rPr>
      </w:pPr>
    </w:p>
    <w:p w:rsidR="00D5436E" w:rsidRDefault="005D5FE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Job title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AHT </w:t>
      </w:r>
      <w:r>
        <w:rPr>
          <w:rFonts w:ascii="Arial" w:eastAsia="Arial" w:hAnsi="Arial" w:cs="Arial"/>
        </w:rPr>
        <w:t>Behaviour,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Safety and Ethos</w:t>
      </w:r>
    </w:p>
    <w:p w:rsidR="00D5436E" w:rsidRDefault="005D5FE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Salary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L10-14</w:t>
      </w:r>
      <w:r>
        <w:rPr>
          <w:rFonts w:ascii="Arial" w:eastAsia="Arial" w:hAnsi="Arial" w:cs="Arial"/>
        </w:rPr>
        <w:tab/>
      </w:r>
    </w:p>
    <w:p w:rsidR="00D5436E" w:rsidRDefault="005D5F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Responsible for:</w:t>
      </w:r>
      <w:r>
        <w:rPr>
          <w:rFonts w:ascii="Arial" w:eastAsia="Arial" w:hAnsi="Arial" w:cs="Arial"/>
        </w:rPr>
        <w:tab/>
        <w:t>Behaviour, Safety and Ethos across the school</w:t>
      </w:r>
    </w:p>
    <w:p w:rsidR="00D5436E" w:rsidRDefault="005D5F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Core Purpose: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Supporting and monitoring the behaviour and safety of all students. Promoting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positive behaviour for learning to support student success and</w:t>
      </w:r>
      <w:r>
        <w:rPr>
          <w:rFonts w:ascii="Arial" w:eastAsia="Arial" w:hAnsi="Arial" w:cs="Arial"/>
        </w:rPr>
        <w:t xml:space="preserve"> a positive,    inclusive ethos across the school community </w:t>
      </w:r>
    </w:p>
    <w:p w:rsidR="00D5436E" w:rsidRDefault="005D5FEE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Reporting to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Deputy 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 </w:t>
      </w:r>
    </w:p>
    <w:p w:rsidR="00D5436E" w:rsidRDefault="005D5FE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current conditions of employment of </w:t>
      </w:r>
      <w:proofErr w:type="gramStart"/>
      <w:r>
        <w:rPr>
          <w:rFonts w:ascii="Arial" w:eastAsia="Arial" w:hAnsi="Arial" w:cs="Arial"/>
        </w:rPr>
        <w:t>school teachers</w:t>
      </w:r>
      <w:proofErr w:type="gramEnd"/>
      <w:r>
        <w:rPr>
          <w:rFonts w:ascii="Arial" w:eastAsia="Arial" w:hAnsi="Arial" w:cs="Arial"/>
        </w:rPr>
        <w:t xml:space="preserve"> as laid down by the Department for Children, Schools and Families</w:t>
      </w:r>
    </w:p>
    <w:p w:rsidR="00D5436E" w:rsidRDefault="00D5436E">
      <w:pPr>
        <w:spacing w:after="0" w:line="240" w:lineRule="auto"/>
        <w:rPr>
          <w:rFonts w:ascii="Arial" w:eastAsia="Arial" w:hAnsi="Arial" w:cs="Arial"/>
        </w:rPr>
      </w:pPr>
    </w:p>
    <w:p w:rsidR="00D5436E" w:rsidRDefault="005D5FE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Main areas of responsibility</w:t>
      </w:r>
    </w:p>
    <w:p w:rsidR="00D5436E" w:rsidRDefault="00D5436E">
      <w:pPr>
        <w:spacing w:after="0" w:line="240" w:lineRule="auto"/>
        <w:rPr>
          <w:rFonts w:ascii="Arial" w:eastAsia="Arial" w:hAnsi="Arial" w:cs="Arial"/>
        </w:rPr>
      </w:pPr>
    </w:p>
    <w:p w:rsidR="00D5436E" w:rsidRDefault="005D5FEE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Promote</w:t>
      </w:r>
      <w:r>
        <w:rPr>
          <w:rFonts w:ascii="Arial" w:eastAsia="Arial" w:hAnsi="Arial" w:cs="Arial"/>
        </w:rPr>
        <w:t xml:space="preserve"> inclusion and acceptance of all students and to encourage students to interact positively with staff and each other through behaviour and engagement in learning 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 a holistic approach to all aspects of student support and inclusion through effective </w:t>
      </w:r>
      <w:r>
        <w:rPr>
          <w:rFonts w:ascii="Arial" w:eastAsia="Arial" w:hAnsi="Arial" w:cs="Arial"/>
        </w:rPr>
        <w:t>deployment of staff and resources, tracking students, monitoring and evaluating the work of the pastoral team</w:t>
      </w:r>
    </w:p>
    <w:p w:rsidR="00D5436E" w:rsidRDefault="005D5FEE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</w:rPr>
        <w:t>Have responsibility for the maintenance of, and staff compliance with, Child Protection and Safeguarding procedures and provide annual training fo</w:t>
      </w:r>
      <w:r>
        <w:rPr>
          <w:rFonts w:ascii="Arial" w:eastAsia="Arial" w:hAnsi="Arial" w:cs="Arial"/>
        </w:rPr>
        <w:t>r all staff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Undertake relevant CPD to comply with legal requirements of safeguarding</w:t>
      </w:r>
    </w:p>
    <w:p w:rsidR="00D5436E" w:rsidRDefault="005D5FEE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 as the Lead Behaviour professional in using data to inform interventions which contribute to and develop positive behaviour management so that all students are engaged</w:t>
      </w:r>
      <w:r>
        <w:rPr>
          <w:rFonts w:ascii="Arial" w:eastAsia="Arial" w:hAnsi="Arial" w:cs="Arial"/>
        </w:rPr>
        <w:t xml:space="preserve"> and participate positively in their own behaviour and learning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Line manage and ensure effective deployment of the Year Coordinators, the Behaviour Mentor, Inclusion Manager and Attendance Officer to support achievement and progress of all pupils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Implement</w:t>
      </w:r>
      <w:r>
        <w:rPr>
          <w:rFonts w:ascii="Arial" w:eastAsia="Arial" w:hAnsi="Arial" w:cs="Arial"/>
        </w:rPr>
        <w:t>, monitor and develop the school’s Behaviour for Learning Policy.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 that there is a sustained, whole-school focus on ensuring that all groups of students maintain high standards linked to attendance and punctuality. 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Deliver CPD to teaching and associ</w:t>
      </w:r>
      <w:r>
        <w:rPr>
          <w:rFonts w:ascii="Arial" w:eastAsia="Arial" w:hAnsi="Arial" w:cs="Arial"/>
        </w:rPr>
        <w:t>ate staff focused on targeted elements of practice and pedagogy.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 positive school policies and practices to engage students with the life of the school and promote active citizenship e.g. through the strategic management of PSHCE and the rewards sys</w:t>
      </w:r>
      <w:r>
        <w:rPr>
          <w:rFonts w:ascii="Arial" w:eastAsia="Arial" w:hAnsi="Arial" w:cs="Arial"/>
        </w:rPr>
        <w:t xml:space="preserve">tem  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 the implementation of relevant policies by all staff through regular evaluation and feedback to governors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Strategically lead on the further development of the </w:t>
      </w:r>
      <w:proofErr w:type="spellStart"/>
      <w:r>
        <w:rPr>
          <w:rFonts w:ascii="Arial" w:eastAsia="Arial" w:hAnsi="Arial" w:cs="Arial"/>
        </w:rPr>
        <w:t>Sharples</w:t>
      </w:r>
      <w:proofErr w:type="spellEnd"/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 xml:space="preserve"> ethos ensuring that it influences </w:t>
      </w:r>
      <w:r>
        <w:rPr>
          <w:rFonts w:ascii="Arial" w:eastAsia="Arial" w:hAnsi="Arial" w:cs="Arial"/>
        </w:rPr>
        <w:t>all aspects of school life.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 f</w:t>
      </w:r>
      <w:r>
        <w:rPr>
          <w:rFonts w:ascii="Arial" w:eastAsia="Arial" w:hAnsi="Arial" w:cs="Arial"/>
        </w:rPr>
        <w:t xml:space="preserve">orm tutors and pastoral </w:t>
      </w:r>
      <w:r>
        <w:rPr>
          <w:rFonts w:ascii="Arial" w:eastAsia="Arial" w:hAnsi="Arial" w:cs="Arial"/>
        </w:rPr>
        <w:t xml:space="preserve">staff as key figures in developing a positive school ethos </w:t>
      </w:r>
      <w:r>
        <w:rPr>
          <w:rFonts w:ascii="Arial" w:eastAsia="Arial" w:hAnsi="Arial" w:cs="Arial"/>
        </w:rPr>
        <w:t>through assemblies and tutorial times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 on SMSC development across the school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Coordinate a high quality A</w:t>
      </w:r>
      <w:r>
        <w:rPr>
          <w:rFonts w:ascii="Arial" w:eastAsia="Arial" w:hAnsi="Arial" w:cs="Arial"/>
        </w:rPr>
        <w:t>ssembly Programme that</w:t>
      </w:r>
      <w:r>
        <w:rPr>
          <w:rFonts w:ascii="Arial" w:eastAsia="Arial" w:hAnsi="Arial" w:cs="Arial"/>
        </w:rPr>
        <w:t xml:space="preserve"> has a positive impact on the personal development of all students.</w:t>
      </w:r>
    </w:p>
    <w:p w:rsidR="00D5436E" w:rsidRDefault="00D5436E">
      <w:pPr>
        <w:spacing w:after="0" w:line="240" w:lineRule="auto"/>
        <w:rPr>
          <w:rFonts w:ascii="Arial" w:eastAsia="Arial" w:hAnsi="Arial" w:cs="Arial"/>
        </w:rPr>
      </w:pPr>
    </w:p>
    <w:p w:rsidR="00D5436E" w:rsidRDefault="00D5436E">
      <w:pPr>
        <w:spacing w:after="0" w:line="240" w:lineRule="auto"/>
        <w:rPr>
          <w:rFonts w:ascii="Arial" w:eastAsia="Arial" w:hAnsi="Arial" w:cs="Arial"/>
          <w:b/>
        </w:rPr>
      </w:pPr>
    </w:p>
    <w:p w:rsidR="005D5FEE" w:rsidRDefault="005D5FEE">
      <w:pPr>
        <w:spacing w:after="0" w:line="240" w:lineRule="auto"/>
        <w:rPr>
          <w:rFonts w:ascii="Arial" w:eastAsia="Arial" w:hAnsi="Arial" w:cs="Arial"/>
          <w:b/>
        </w:rPr>
      </w:pPr>
    </w:p>
    <w:p w:rsidR="00D5436E" w:rsidRDefault="005D5FE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Role as a member of the Senior Leadership Team (SLT) of </w:t>
      </w:r>
      <w:proofErr w:type="spellStart"/>
      <w:r>
        <w:rPr>
          <w:rFonts w:ascii="Arial" w:eastAsia="Arial" w:hAnsi="Arial" w:cs="Arial"/>
          <w:b/>
        </w:rPr>
        <w:t>Sharples</w:t>
      </w:r>
      <w:proofErr w:type="spellEnd"/>
      <w:r>
        <w:rPr>
          <w:rFonts w:ascii="Arial" w:eastAsia="Arial" w:hAnsi="Arial" w:cs="Arial"/>
          <w:b/>
        </w:rPr>
        <w:t xml:space="preserve"> School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bookmarkStart w:id="2" w:name="_GoBack"/>
      <w:bookmarkEnd w:id="2"/>
      <w:r>
        <w:rPr>
          <w:rFonts w:ascii="Arial" w:eastAsia="Arial" w:hAnsi="Arial" w:cs="Arial"/>
        </w:rPr>
        <w:t xml:space="preserve">To work with the 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 and governors in contributing to the vision and strategic direction of the scho</w:t>
      </w:r>
      <w:r>
        <w:rPr>
          <w:rFonts w:ascii="Arial" w:eastAsia="Arial" w:hAnsi="Arial" w:cs="Arial"/>
        </w:rPr>
        <w:t>ol, including the development of Specialist Science Status;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contribute as a leader and a classroom practitioner to a school wide focus on achievement and standards;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assist the 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 in the day to day running of the school which may involve cont</w:t>
      </w:r>
      <w:r>
        <w:rPr>
          <w:rFonts w:ascii="Arial" w:eastAsia="Arial" w:hAnsi="Arial" w:cs="Arial"/>
        </w:rPr>
        <w:t>ributing to the assembly programme, supporting break and lunchtime duties, promoting health and safety, and by attendance at extracurricular events;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promote the aims and values of the school,  within the school, with parents  and the wider community;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contribute to the line management of staff in order to support, challenge and develop them in their role thus ensuring a culture of accountability at all levels;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work as part of the SLT to  support the appraisal process; 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contribute towards maintain</w:t>
      </w:r>
      <w:r>
        <w:rPr>
          <w:rFonts w:ascii="Arial" w:eastAsia="Arial" w:hAnsi="Arial" w:cs="Arial"/>
        </w:rPr>
        <w:t>ing the school SEF and SIP, ensuring accurate reflection of standards, progress and other aspects of the school’s work;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participate in early morning briefings, weekly meetings and strategic planning sessions including weekends;</w:t>
      </w:r>
    </w:p>
    <w:p w:rsidR="00D5436E" w:rsidRDefault="00D5436E">
      <w:pPr>
        <w:spacing w:after="0" w:line="240" w:lineRule="auto"/>
        <w:rPr>
          <w:rFonts w:ascii="Arial" w:eastAsia="Arial" w:hAnsi="Arial" w:cs="Arial"/>
        </w:rPr>
      </w:pPr>
    </w:p>
    <w:p w:rsidR="00D5436E" w:rsidRDefault="005D5FE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General duties and respo</w:t>
      </w:r>
      <w:r>
        <w:rPr>
          <w:rFonts w:ascii="Arial" w:eastAsia="Arial" w:hAnsi="Arial" w:cs="Arial"/>
          <w:b/>
        </w:rPr>
        <w:t>nsibilities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carry out the duties as set out in the School Teachers’ Pay and Conditions Document;</w:t>
      </w:r>
    </w:p>
    <w:p w:rsidR="00D5436E" w:rsidRDefault="005D5F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continue to meet the required standards for Qualified Teachers’ status</w:t>
      </w:r>
    </w:p>
    <w:p w:rsidR="00D5436E" w:rsidRDefault="00D5436E">
      <w:pPr>
        <w:spacing w:after="0" w:line="240" w:lineRule="auto"/>
        <w:rPr>
          <w:rFonts w:ascii="Arial" w:eastAsia="Arial" w:hAnsi="Arial" w:cs="Arial"/>
        </w:rPr>
      </w:pPr>
    </w:p>
    <w:p w:rsidR="00D5436E" w:rsidRDefault="005D5FEE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_________________________________________________________________________________</w:t>
      </w:r>
      <w:r>
        <w:rPr>
          <w:rFonts w:ascii="Arial" w:eastAsia="Arial" w:hAnsi="Arial" w:cs="Arial"/>
          <w:b/>
          <w:sz w:val="16"/>
          <w:szCs w:val="16"/>
        </w:rPr>
        <w:t>_________________________________</w:t>
      </w:r>
    </w:p>
    <w:p w:rsidR="00D5436E" w:rsidRDefault="005D5FE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REVIEW ARRANGEMENTS</w:t>
      </w:r>
    </w:p>
    <w:p w:rsidR="00D5436E" w:rsidRDefault="005D5FE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The details contained in this Job Description reflect the content of the job at the date it was prepared.  It </w:t>
      </w:r>
      <w:proofErr w:type="gramStart"/>
      <w:r>
        <w:rPr>
          <w:rFonts w:ascii="Arial" w:eastAsia="Arial" w:hAnsi="Arial" w:cs="Arial"/>
          <w:b/>
          <w:i/>
          <w:sz w:val="18"/>
          <w:szCs w:val="18"/>
        </w:rPr>
        <w:t>should be remembered</w:t>
      </w:r>
      <w:proofErr w:type="gramEnd"/>
      <w:r>
        <w:rPr>
          <w:rFonts w:ascii="Arial" w:eastAsia="Arial" w:hAnsi="Arial" w:cs="Arial"/>
          <w:b/>
          <w:i/>
          <w:sz w:val="18"/>
          <w:szCs w:val="18"/>
        </w:rPr>
        <w:t>, however, that it is inevitable that over time, the nature of individua</w:t>
      </w:r>
      <w:r>
        <w:rPr>
          <w:rFonts w:ascii="Arial" w:eastAsia="Arial" w:hAnsi="Arial" w:cs="Arial"/>
          <w:b/>
          <w:i/>
          <w:sz w:val="18"/>
          <w:szCs w:val="18"/>
        </w:rPr>
        <w:t xml:space="preserve">l jobs will change, existing duties may no longer be required and other duties may be gained without changing the general nature of the duties or the level of responsibility entailed.  </w:t>
      </w:r>
      <w:proofErr w:type="gramStart"/>
      <w:r>
        <w:rPr>
          <w:rFonts w:ascii="Arial" w:eastAsia="Arial" w:hAnsi="Arial" w:cs="Arial"/>
          <w:b/>
          <w:i/>
          <w:sz w:val="18"/>
          <w:szCs w:val="18"/>
        </w:rPr>
        <w:t>Consequently</w:t>
      </w:r>
      <w:proofErr w:type="gram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Sharples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School will expect to revise the Job Description </w:t>
      </w:r>
      <w:r>
        <w:rPr>
          <w:rFonts w:ascii="Arial" w:eastAsia="Arial" w:hAnsi="Arial" w:cs="Arial"/>
          <w:b/>
          <w:i/>
          <w:sz w:val="18"/>
          <w:szCs w:val="18"/>
        </w:rPr>
        <w:t>from time to time and will consult with the post holder at the appropriate time.</w:t>
      </w:r>
    </w:p>
    <w:p w:rsidR="00D5436E" w:rsidRDefault="005D5FEE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Prepared/revised by: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Ms A Webster (March 2020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)  _</w:t>
      </w:r>
      <w:proofErr w:type="gramEnd"/>
      <w:r>
        <w:rPr>
          <w:rFonts w:ascii="Arial" w:eastAsia="Arial" w:hAnsi="Arial" w:cs="Arial"/>
          <w:b/>
          <w:sz w:val="18"/>
          <w:szCs w:val="18"/>
        </w:rPr>
        <w:t>________________________________________</w:t>
      </w:r>
    </w:p>
    <w:p w:rsidR="00D5436E" w:rsidRDefault="00D5436E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:rsidR="00D5436E" w:rsidRDefault="005D5FEE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Agreed by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Postholder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: 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>Signature: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ab/>
        <w:t>___________________________</w:t>
      </w:r>
      <w:r>
        <w:rPr>
          <w:rFonts w:ascii="Arial" w:eastAsia="Arial" w:hAnsi="Arial" w:cs="Arial"/>
          <w:b/>
          <w:i/>
          <w:sz w:val="18"/>
          <w:szCs w:val="18"/>
        </w:rPr>
        <w:t>Date</w:t>
      </w:r>
      <w:r>
        <w:rPr>
          <w:rFonts w:ascii="Arial" w:eastAsia="Arial" w:hAnsi="Arial" w:cs="Arial"/>
          <w:sz w:val="18"/>
          <w:szCs w:val="18"/>
        </w:rPr>
        <w:t>: __________________________________</w:t>
      </w: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5436E" w:rsidRDefault="005D5FE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Specification – AHT Inclusion, Behaviour and Safety</w:t>
      </w:r>
    </w:p>
    <w:p w:rsidR="00D5436E" w:rsidRDefault="00D5436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279"/>
        <w:gridCol w:w="1418"/>
        <w:gridCol w:w="1985"/>
      </w:tblGrid>
      <w:tr w:rsidR="00D5436E">
        <w:tc>
          <w:tcPr>
            <w:tcW w:w="1809" w:type="dxa"/>
          </w:tcPr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79" w:type="dxa"/>
          </w:tcPr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Criteria</w:t>
            </w:r>
          </w:p>
        </w:tc>
        <w:tc>
          <w:tcPr>
            <w:tcW w:w="1418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985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Evidence from</w:t>
            </w:r>
          </w:p>
        </w:tc>
      </w:tr>
      <w:tr w:rsidR="00D5436E">
        <w:tc>
          <w:tcPr>
            <w:tcW w:w="1809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Education &amp; qualifications</w:t>
            </w:r>
          </w:p>
        </w:tc>
        <w:tc>
          <w:tcPr>
            <w:tcW w:w="5279" w:type="dxa"/>
          </w:tcPr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Degree qualification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Qualified teacher status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 Protection Training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Participation in work with other schools/agencies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leading in-service activities for others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Commitment to extend own skills/knowledge through further professional development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Specialist teacher of designated subject area</w:t>
            </w:r>
          </w:p>
        </w:tc>
        <w:tc>
          <w:tcPr>
            <w:tcW w:w="1418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985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Supporting statement</w:t>
            </w:r>
          </w:p>
        </w:tc>
      </w:tr>
      <w:tr w:rsidR="00D5436E">
        <w:tc>
          <w:tcPr>
            <w:tcW w:w="1809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5279" w:type="dxa"/>
          </w:tcPr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more than one school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Successful experience at middle management level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Successful experience of monitoring teaching and learning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</w:t>
            </w:r>
            <w:r>
              <w:rPr>
                <w:rFonts w:ascii="Arial" w:eastAsia="Arial" w:hAnsi="Arial" w:cs="Arial"/>
                <w:sz w:val="20"/>
                <w:szCs w:val="20"/>
              </w:rPr>
              <w:t>ience of leading, motivating and monitoring other members of staff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using data analysis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Experience as a successful tutor 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 classroom practice across 11-16 age range</w:t>
            </w:r>
          </w:p>
          <w:p w:rsidR="00D5436E" w:rsidRDefault="00D5436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Desirable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Supporting statement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References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Interview</w:t>
            </w:r>
          </w:p>
        </w:tc>
      </w:tr>
      <w:tr w:rsidR="00D5436E">
        <w:tc>
          <w:tcPr>
            <w:tcW w:w="1809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&amp; understanding</w:t>
            </w:r>
          </w:p>
        </w:tc>
        <w:tc>
          <w:tcPr>
            <w:tcW w:w="5279" w:type="dxa"/>
          </w:tcPr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Understanding of best practice in the effective use of pupil performance data and assessment for learning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Understanding of best practice in raising pupil achievement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managing change</w:t>
            </w:r>
          </w:p>
        </w:tc>
        <w:tc>
          <w:tcPr>
            <w:tcW w:w="1418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Desirable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Supporting statement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References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Interview</w:t>
            </w:r>
          </w:p>
        </w:tc>
      </w:tr>
      <w:tr w:rsidR="00D5436E">
        <w:tc>
          <w:tcPr>
            <w:tcW w:w="1809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Skills &amp; abilities</w:t>
            </w:r>
          </w:p>
        </w:tc>
        <w:tc>
          <w:tcPr>
            <w:tcW w:w="5279" w:type="dxa"/>
          </w:tcPr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 communication and interpersonal skills with adults and young people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lead and support middle leaders and staff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analyse complex issues and plan strategically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exercise good judgement and make effective decisions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Well-developed ICT skills</w:t>
            </w:r>
          </w:p>
        </w:tc>
        <w:tc>
          <w:tcPr>
            <w:tcW w:w="1418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Supporting statement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Classroom observation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Interview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References</w:t>
            </w:r>
          </w:p>
        </w:tc>
      </w:tr>
      <w:tr w:rsidR="00D5436E">
        <w:tc>
          <w:tcPr>
            <w:tcW w:w="1809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5279" w:type="dxa"/>
          </w:tcPr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Passionate belief in the ability of every pupil to achieve success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clear educational vision and sense of direction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develop an ethos of high aspirations backed up by strategies to support this goal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Commitment to t</w:t>
            </w:r>
            <w:r>
              <w:rPr>
                <w:rFonts w:ascii="Arial" w:eastAsia="Arial" w:hAnsi="Arial" w:cs="Arial"/>
                <w:sz w:val="20"/>
                <w:szCs w:val="20"/>
              </w:rPr>
              <w:t>he vision to be an outstanding school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organisational skills and high levels of self-motivation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Energy, self-confidence and the ability to ‘give more’ when the occasion demands it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work under pressure and to meet deadlines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sense of humour and the ability to maintain a sense of perspective in all working conditions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Record of good health, attendance and punctuality</w:t>
            </w:r>
          </w:p>
          <w:p w:rsidR="00D5436E" w:rsidRDefault="005D5F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desire for further promotion</w:t>
            </w:r>
          </w:p>
        </w:tc>
        <w:tc>
          <w:tcPr>
            <w:tcW w:w="1418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D5436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985" w:type="dxa"/>
          </w:tcPr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Supporting statement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References</w:t>
            </w:r>
          </w:p>
          <w:p w:rsidR="00D5436E" w:rsidRDefault="005D5F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Interview</w:t>
            </w:r>
          </w:p>
        </w:tc>
      </w:tr>
    </w:tbl>
    <w:p w:rsidR="00D5436E" w:rsidRDefault="00D5436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5436E" w:rsidRDefault="00D5436E">
      <w:pPr>
        <w:spacing w:after="0" w:line="240" w:lineRule="auto"/>
        <w:rPr>
          <w:rFonts w:ascii="Arial" w:eastAsia="Arial" w:hAnsi="Arial" w:cs="Arial"/>
        </w:rPr>
      </w:pPr>
    </w:p>
    <w:sectPr w:rsidR="00D5436E">
      <w:pgSz w:w="11906" w:h="16838"/>
      <w:pgMar w:top="851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55C"/>
    <w:multiLevelType w:val="multilevel"/>
    <w:tmpl w:val="95964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6E"/>
    <w:rsid w:val="005D5FEE"/>
    <w:rsid w:val="00D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E4CB"/>
  <w15:docId w15:val="{A5384297-FB30-49B1-8692-15B9150C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DD"/>
    <w:rPr>
      <w:rFonts w:ascii="Tahoma" w:hAnsi="Tahoma" w:cs="Tahoma"/>
      <w:sz w:val="16"/>
      <w:szCs w:val="16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1dfnI+uW7/wXmvya3bswjlzzQg==">AMUW2mUXNWFqW3KJOT2xUzpEzeJbrqKLE7loytJhmlCyvq/awkEF8LXL4pvTOLy9+R7rz08gHYPwV13KG2y2UeqEndtDs5VDlSRKkHuT/1hVGdGZonaZs7etUpuitpfIyLCOklTN8FZ8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</dc:creator>
  <cp:lastModifiedBy>Windows User</cp:lastModifiedBy>
  <cp:revision>2</cp:revision>
  <dcterms:created xsi:type="dcterms:W3CDTF">2018-05-09T09:24:00Z</dcterms:created>
  <dcterms:modified xsi:type="dcterms:W3CDTF">2020-03-26T09:59:00Z</dcterms:modified>
</cp:coreProperties>
</file>