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B" w:rsidRPr="00543FAB" w:rsidRDefault="000B6636" w:rsidP="00543FAB">
      <w:bookmarkStart w:id="0" w:name="_GoBack"/>
      <w:bookmarkEnd w:id="0"/>
      <w:r>
        <w:rPr>
          <w:noProof/>
        </w:rPr>
        <w:drawing>
          <wp:anchor distT="0" distB="0" distL="114300" distR="114300" simplePos="0" relativeHeight="251657728" behindDoc="1" locked="0" layoutInCell="1" allowOverlap="1">
            <wp:simplePos x="0" y="0"/>
            <wp:positionH relativeFrom="column">
              <wp:posOffset>7658100</wp:posOffset>
            </wp:positionH>
            <wp:positionV relativeFrom="margin">
              <wp:align>top</wp:align>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90"/>
        <w:gridCol w:w="8847"/>
        <w:gridCol w:w="391"/>
        <w:gridCol w:w="131"/>
        <w:gridCol w:w="480"/>
        <w:gridCol w:w="480"/>
        <w:gridCol w:w="480"/>
        <w:gridCol w:w="480"/>
        <w:gridCol w:w="480"/>
        <w:gridCol w:w="1879"/>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r w:rsidR="00523B0A">
              <w:rPr>
                <w:rFonts w:ascii="Verdana" w:hAnsi="Verdana"/>
                <w:b/>
                <w:sz w:val="20"/>
                <w:szCs w:val="20"/>
              </w:rPr>
              <w:t xml:space="preserve">Executive </w:t>
            </w:r>
            <w:r w:rsidR="00AE31F2">
              <w:rPr>
                <w:rFonts w:ascii="Verdana" w:hAnsi="Verdana"/>
                <w:b/>
                <w:sz w:val="20"/>
                <w:szCs w:val="20"/>
              </w:rPr>
              <w:t>Officer to</w:t>
            </w:r>
            <w:r w:rsidR="00523B0A">
              <w:rPr>
                <w:rFonts w:ascii="Verdana" w:hAnsi="Verdana"/>
                <w:b/>
                <w:sz w:val="20"/>
                <w:szCs w:val="20"/>
              </w:rPr>
              <w:t xml:space="preserve"> the </w:t>
            </w:r>
            <w:r w:rsidR="00AE31F2">
              <w:rPr>
                <w:rFonts w:ascii="Verdana" w:hAnsi="Verdana"/>
                <w:b/>
                <w:sz w:val="20"/>
                <w:szCs w:val="20"/>
              </w:rPr>
              <w:t xml:space="preserve">Chief Executive </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523B0A" w:rsidP="00CE44B4">
            <w:pPr>
              <w:rPr>
                <w:rFonts w:ascii="Verdana" w:hAnsi="Verdana"/>
                <w:b/>
                <w:sz w:val="20"/>
                <w:szCs w:val="20"/>
              </w:rPr>
            </w:pPr>
            <w:r>
              <w:rPr>
                <w:rFonts w:ascii="Verdana" w:hAnsi="Verdana"/>
                <w:b/>
                <w:sz w:val="20"/>
                <w:szCs w:val="20"/>
              </w:rPr>
              <w:t>Form completed by</w:t>
            </w:r>
            <w:r w:rsidR="00CE44B4" w:rsidRPr="00CE44B4">
              <w:rPr>
                <w:rFonts w:ascii="Verdana" w:hAnsi="Verdana"/>
                <w:b/>
                <w:sz w:val="20"/>
                <w:szCs w:val="20"/>
              </w:rPr>
              <w:t>:</w:t>
            </w:r>
            <w:r w:rsidR="00CE44B4">
              <w:rPr>
                <w:rFonts w:ascii="Verdana" w:hAnsi="Verdana"/>
                <w:b/>
                <w:sz w:val="20"/>
                <w:szCs w:val="20"/>
              </w:rPr>
              <w:t xml:space="preserve"> </w:t>
            </w:r>
            <w:r>
              <w:rPr>
                <w:rFonts w:ascii="Verdana" w:hAnsi="Verdana"/>
                <w:b/>
                <w:sz w:val="20"/>
                <w:szCs w:val="20"/>
              </w:rPr>
              <w:t>Jackie Harper, Principal HR Advisor</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523B0A">
              <w:rPr>
                <w:rFonts w:ascii="Verdana" w:hAnsi="Verdana"/>
                <w:b/>
                <w:sz w:val="20"/>
                <w:szCs w:val="20"/>
              </w:rPr>
              <w:t>9</w:t>
            </w:r>
            <w:r w:rsidR="00523B0A" w:rsidRPr="00523B0A">
              <w:rPr>
                <w:rFonts w:ascii="Verdana" w:hAnsi="Verdana"/>
                <w:b/>
                <w:sz w:val="20"/>
                <w:szCs w:val="20"/>
                <w:vertAlign w:val="superscript"/>
              </w:rPr>
              <w:t>th</w:t>
            </w:r>
            <w:r w:rsidR="00523B0A">
              <w:rPr>
                <w:rFonts w:ascii="Verdana" w:hAnsi="Verdana"/>
                <w:b/>
                <w:sz w:val="20"/>
                <w:szCs w:val="20"/>
              </w:rPr>
              <w:t xml:space="preserve"> August 2018</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lastRenderedPageBreak/>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AE31F2"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AE31F2"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AE31F2"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AE31F2"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AE31F2"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AE31F2"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Use of mechanical equipment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DA4190" w:rsidP="00CE44B4">
            <w:pPr>
              <w:jc w:val="center"/>
              <w:rPr>
                <w:rFonts w:ascii="Verdana" w:hAnsi="Verdana"/>
                <w:sz w:val="20"/>
                <w:szCs w:val="20"/>
              </w:rPr>
            </w:pPr>
            <w:r>
              <w:rPr>
                <w:rFonts w:ascii="Verdana" w:hAnsi="Verdana"/>
                <w:sz w:val="20"/>
                <w:szCs w:val="20"/>
              </w:rPr>
              <w:t>√</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DA4190" w:rsidP="00CE44B4">
            <w:pPr>
              <w:jc w:val="center"/>
              <w:rPr>
                <w:rFonts w:ascii="Verdana" w:hAnsi="Verdana"/>
                <w:sz w:val="20"/>
                <w:szCs w:val="20"/>
              </w:rPr>
            </w:pPr>
            <w:r>
              <w:rPr>
                <w:rFonts w:ascii="Verdana" w:hAnsi="Verdana"/>
                <w:sz w:val="20"/>
                <w:szCs w:val="20"/>
              </w:rPr>
              <w:t>√</w:t>
            </w: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543FAB">
      <w:headerReference w:type="default" r:id="rId8"/>
      <w:footerReference w:type="default" r:id="rId9"/>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44" w:rsidRDefault="00AE1144">
      <w:r>
        <w:separator/>
      </w:r>
    </w:p>
  </w:endnote>
  <w:endnote w:type="continuationSeparator" w:id="0">
    <w:p w:rsidR="00AE1144" w:rsidRDefault="00A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sidR="000B4859">
      <w:rPr>
        <w:rFonts w:ascii="Verdana" w:hAnsi="Verdana"/>
        <w:noProof/>
        <w:sz w:val="22"/>
        <w:szCs w:val="22"/>
      </w:rPr>
      <w:t>2</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sidR="000B4859">
      <w:rPr>
        <w:rFonts w:ascii="Verdana" w:hAnsi="Verdana"/>
        <w:noProof/>
        <w:sz w:val="22"/>
        <w:szCs w:val="22"/>
      </w:rPr>
      <w:t>3</w:t>
    </w:r>
    <w:r w:rsidRPr="00766881">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44" w:rsidRDefault="00AE1144">
      <w:r>
        <w:separator/>
      </w:r>
    </w:p>
  </w:footnote>
  <w:footnote w:type="continuationSeparator" w:id="0">
    <w:p w:rsidR="00AE1144" w:rsidRDefault="00AE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B"/>
    <w:rsid w:val="00047F40"/>
    <w:rsid w:val="00071CCC"/>
    <w:rsid w:val="000B4859"/>
    <w:rsid w:val="000B6636"/>
    <w:rsid w:val="00105B53"/>
    <w:rsid w:val="00194C44"/>
    <w:rsid w:val="00523B0A"/>
    <w:rsid w:val="00543FAB"/>
    <w:rsid w:val="005A6273"/>
    <w:rsid w:val="006769E5"/>
    <w:rsid w:val="00783502"/>
    <w:rsid w:val="009057B5"/>
    <w:rsid w:val="00943CA1"/>
    <w:rsid w:val="009F1E5E"/>
    <w:rsid w:val="00AE1144"/>
    <w:rsid w:val="00AE31F2"/>
    <w:rsid w:val="00C87B2C"/>
    <w:rsid w:val="00CE44B4"/>
    <w:rsid w:val="00D04F11"/>
    <w:rsid w:val="00D1709C"/>
    <w:rsid w:val="00DA4190"/>
    <w:rsid w:val="00E937D9"/>
    <w:rsid w:val="00F2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7A12B14-28B2-47E0-A706-9CC6B57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k.sherlock</cp:lastModifiedBy>
  <cp:revision>2</cp:revision>
  <dcterms:created xsi:type="dcterms:W3CDTF">2018-08-13T11:49:00Z</dcterms:created>
  <dcterms:modified xsi:type="dcterms:W3CDTF">2018-08-13T11:49:00Z</dcterms:modified>
</cp:coreProperties>
</file>