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9418E3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Social Worker</w:t>
            </w:r>
          </w:p>
        </w:tc>
      </w:tr>
      <w:tr w:rsidR="00484F0F" w:rsidRPr="00484F0F" w:rsidTr="00F860A1">
        <w:trPr>
          <w:trHeight w:val="40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9418E3" w:rsidP="00EF4EF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Department of People</w:t>
            </w:r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9418E3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Referral and Assessment (MASSS)</w:t>
            </w:r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9418E3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Castle Hill Centre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F860A1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60A1" w:rsidRPr="00484F0F" w:rsidRDefault="009418E3" w:rsidP="00F860A1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Knowledge of Social Work Law and practice, particularly in relation to referral and assessment.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9418E3" w:rsidP="00F860A1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Knowledge of short term interventions, applying appropriate methods and techniques in order to deliver improved outcomes for children.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9418E3" w:rsidP="00F860A1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Ability to interpret policy and provide appropriate advice and guidance to a variety of stakeholders and service users.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9418E3" w:rsidP="00F860A1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An up to date understanding of child protection issues in order to undertake child protection enquiries.</w:t>
            </w:r>
          </w:p>
        </w:tc>
      </w:tr>
      <w:tr w:rsidR="00EF4EF3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3B512A" w:rsidRDefault="009418E3" w:rsidP="00EF4EF3">
            <w:r>
              <w:rPr>
                <w:rFonts w:cs="Arial"/>
              </w:rPr>
              <w:t>Demonstrate effective verbal and written communication skills in order to complete assessment reports, including analysis to reach conclusions and articulate this information as appropriate.</w:t>
            </w:r>
          </w:p>
        </w:tc>
      </w:tr>
      <w:tr w:rsidR="00EF4EF3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3B512A" w:rsidRDefault="009418E3" w:rsidP="00EF4EF3">
            <w:r>
              <w:rPr>
                <w:rFonts w:cs="Arial"/>
              </w:rPr>
              <w:t>Demonstrate effective problem solving and decision making skills by applying solutions that contribute to appropriate outcomes for children and families.</w:t>
            </w:r>
          </w:p>
        </w:tc>
      </w:tr>
      <w:tr w:rsidR="00EF4EF3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3B512A" w:rsidRDefault="009418E3" w:rsidP="00EF4EF3">
            <w:r w:rsidRPr="001774B2">
              <w:rPr>
                <w:rFonts w:cs="Arial"/>
                <w:b/>
              </w:rPr>
              <w:t xml:space="preserve">Promoting equality and diversity </w:t>
            </w:r>
            <w:r>
              <w:rPr>
                <w:rFonts w:cs="Arial"/>
                <w:b/>
              </w:rPr>
              <w:t xml:space="preserve">– </w:t>
            </w:r>
            <w:r w:rsidRPr="00A3662E">
              <w:rPr>
                <w:rFonts w:cs="Arial"/>
              </w:rPr>
              <w:t>U</w:t>
            </w:r>
            <w:r>
              <w:rPr>
                <w:rFonts w:cs="Arial"/>
              </w:rPr>
              <w:t xml:space="preserve">nderstand how knowledge of our diverse communities can help us to deliver effective services and reduce disadvantage in the borough. Listen to </w:t>
            </w:r>
            <w:r w:rsidRPr="009A6A6B">
              <w:rPr>
                <w:rFonts w:cs="Arial"/>
              </w:rPr>
              <w:t>contributions made to service development without prejudice</w:t>
            </w:r>
            <w:r>
              <w:rPr>
                <w:rFonts w:cs="Arial"/>
              </w:rPr>
              <w:t>.</w:t>
            </w:r>
            <w:r w:rsidRPr="009A6A6B">
              <w:rPr>
                <w:rFonts w:cs="Arial"/>
              </w:rPr>
              <w:t xml:space="preserve"> Challenge behaviours and processes which do not </w:t>
            </w:r>
            <w:r>
              <w:rPr>
                <w:rFonts w:cs="Arial"/>
              </w:rPr>
              <w:t xml:space="preserve">support the council’s work to </w:t>
            </w:r>
            <w:r>
              <w:t>eliminate discrimination; advance equality of opportunity; and foster good relations,</w:t>
            </w:r>
            <w:r w:rsidRPr="009A6A6B">
              <w:rPr>
                <w:rFonts w:cs="Arial"/>
              </w:rPr>
              <w:t xml:space="preserve"> whil</w:t>
            </w:r>
            <w:r>
              <w:rPr>
                <w:rFonts w:cs="Arial"/>
              </w:rPr>
              <w:t>e</w:t>
            </w:r>
            <w:r w:rsidRPr="009A6A6B">
              <w:rPr>
                <w:rFonts w:cs="Arial"/>
              </w:rPr>
              <w:t xml:space="preserve"> being prepared to accept feedback about own behaviour.</w:t>
            </w:r>
          </w:p>
        </w:tc>
      </w:tr>
      <w:tr w:rsidR="00EF4EF3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3B512A" w:rsidRDefault="009418E3" w:rsidP="00EF4EF3">
            <w:r w:rsidRPr="006D3EA6">
              <w:rPr>
                <w:rFonts w:cs="Arial"/>
                <w:b/>
              </w:rPr>
              <w:t>Customer Care</w:t>
            </w:r>
            <w:r w:rsidRPr="009A6A6B">
              <w:rPr>
                <w:rFonts w:cs="Arial"/>
              </w:rPr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</w:tr>
      <w:tr w:rsidR="00EF4EF3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3B512A" w:rsidRDefault="009418E3" w:rsidP="00EF4EF3">
            <w:r w:rsidRPr="006D3EA6">
              <w:rPr>
                <w:rFonts w:cs="Arial"/>
                <w:b/>
              </w:rPr>
              <w:t>Developing Self and Others</w:t>
            </w:r>
            <w:r w:rsidRPr="002068F1">
              <w:rPr>
                <w:rFonts w:cs="Arial"/>
              </w:rPr>
              <w:t xml:space="preserve"> - </w:t>
            </w:r>
            <w:r w:rsidRPr="009A6A6B">
              <w:rPr>
                <w:rFonts w:cs="Arial"/>
              </w:rPr>
              <w:t>Coach and mentor others.  Be willing to share learning and encourage others to do the same.  Listen to others and respond to their needs.  Apply a range of development activities to develop and train staff.  Endorse the principles of Investor in People.  Strives for improvement and take responsibility for own development.  Be self-confident and lead by example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876DC8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418E3" w:rsidRPr="00FB4E8B" w:rsidRDefault="009418E3" w:rsidP="009418E3">
            <w:pPr>
              <w:rPr>
                <w:rFonts w:cs="Arial"/>
                <w:sz w:val="16"/>
                <w:szCs w:val="16"/>
              </w:rPr>
            </w:pPr>
          </w:p>
          <w:p w:rsidR="00F836D2" w:rsidRPr="00484F0F" w:rsidRDefault="009418E3" w:rsidP="009418E3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CQSW/</w:t>
            </w:r>
            <w:proofErr w:type="spellStart"/>
            <w:r>
              <w:rPr>
                <w:rFonts w:cs="Arial"/>
              </w:rPr>
              <w:t>DipSW</w:t>
            </w:r>
            <w:proofErr w:type="spellEnd"/>
            <w:r>
              <w:rPr>
                <w:rFonts w:cs="Arial"/>
              </w:rPr>
              <w:t>/CSS or equivalent</w:t>
            </w:r>
          </w:p>
        </w:tc>
      </w:tr>
      <w:tr w:rsidR="00EF4EF3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9418E3" w:rsidRDefault="009418E3" w:rsidP="009418E3">
            <w:pPr>
              <w:spacing w:after="120"/>
              <w:rPr>
                <w:rFonts w:cs="Arial"/>
              </w:rPr>
            </w:pPr>
            <w:r w:rsidRPr="004A3DD6">
              <w:rPr>
                <w:rFonts w:cs="Arial"/>
              </w:rPr>
              <w:t xml:space="preserve">Must be registered or applied for registration with the </w:t>
            </w:r>
            <w:r>
              <w:rPr>
                <w:rFonts w:cs="Arial"/>
              </w:rPr>
              <w:t>Health &amp;</w:t>
            </w:r>
            <w:r w:rsidRPr="004A3DD6">
              <w:rPr>
                <w:rFonts w:cs="Arial"/>
              </w:rPr>
              <w:t xml:space="preserve"> Care </w:t>
            </w:r>
            <w:r>
              <w:rPr>
                <w:rFonts w:cs="Arial"/>
              </w:rPr>
              <w:t xml:space="preserve">Professions </w:t>
            </w:r>
            <w:r w:rsidRPr="004A3DD6">
              <w:rPr>
                <w:rFonts w:cs="Arial"/>
              </w:rPr>
              <w:t>Council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Additional Requirements </w:t>
            </w:r>
          </w:p>
        </w:tc>
      </w:tr>
      <w:tr w:rsidR="00EF4EF3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B354F3" w:rsidRDefault="009418E3" w:rsidP="00D13B3B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>Experience as a front line Duty Officer within a Children’s Services Department</w:t>
            </w:r>
          </w:p>
          <w:p w:rsidR="00EF4EF3" w:rsidRPr="00F836D2" w:rsidRDefault="004131F4" w:rsidP="00D13B3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9418E3" w:rsidP="00BE2A18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lastRenderedPageBreak/>
              <w:t>Experience of undertaking Child Protection Enquiries</w:t>
            </w:r>
          </w:p>
        </w:tc>
      </w:tr>
    </w:tbl>
    <w:p w:rsidR="00F836D2" w:rsidRPr="000815A8" w:rsidRDefault="00F836D2" w:rsidP="000815A8">
      <w:bookmarkStart w:id="0" w:name="_GoBack"/>
      <w:bookmarkEnd w:id="0"/>
    </w:p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E"/>
    <w:rsid w:val="00004848"/>
    <w:rsid w:val="0004640A"/>
    <w:rsid w:val="000815A8"/>
    <w:rsid w:val="00087BA6"/>
    <w:rsid w:val="0020456C"/>
    <w:rsid w:val="002671A1"/>
    <w:rsid w:val="00297038"/>
    <w:rsid w:val="002B6566"/>
    <w:rsid w:val="003A7F1C"/>
    <w:rsid w:val="004131F4"/>
    <w:rsid w:val="004304DA"/>
    <w:rsid w:val="00484F0F"/>
    <w:rsid w:val="004F0C9E"/>
    <w:rsid w:val="00655BBB"/>
    <w:rsid w:val="00857E47"/>
    <w:rsid w:val="008753C0"/>
    <w:rsid w:val="00876DC8"/>
    <w:rsid w:val="008B0CB2"/>
    <w:rsid w:val="009418E3"/>
    <w:rsid w:val="009A2743"/>
    <w:rsid w:val="00A03E90"/>
    <w:rsid w:val="00BF5700"/>
    <w:rsid w:val="00D612E2"/>
    <w:rsid w:val="00DF222C"/>
    <w:rsid w:val="00E20341"/>
    <w:rsid w:val="00EF4EF3"/>
    <w:rsid w:val="00F14D38"/>
    <w:rsid w:val="00F16602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Allen, Shena</cp:lastModifiedBy>
  <cp:revision>2</cp:revision>
  <dcterms:created xsi:type="dcterms:W3CDTF">2017-01-18T10:03:00Z</dcterms:created>
  <dcterms:modified xsi:type="dcterms:W3CDTF">2017-01-18T10:03:00Z</dcterms:modified>
</cp:coreProperties>
</file>