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125705" w:rsidRDefault="00E675AB" w:rsidP="00E675AB">
      <w:pPr>
        <w:pStyle w:val="Body"/>
        <w:ind w:right="-761" w:hanging="709"/>
        <w:jc w:val="center"/>
        <w:rPr>
          <w:rFonts w:eastAsia="Calibri"/>
          <w:b/>
          <w:bCs/>
          <w:iCs/>
          <w:color w:val="auto"/>
        </w:rPr>
      </w:pPr>
      <w:bookmarkStart w:id="0" w:name="_GoBack"/>
      <w:bookmarkEnd w:id="0"/>
      <w:r w:rsidRPr="00125705">
        <w:rPr>
          <w:noProof/>
          <w:color w:val="auto"/>
          <w:lang w:eastAsia="en-GB"/>
        </w:rPr>
        <w:drawing>
          <wp:inline distT="0" distB="0" distL="0" distR="0" wp14:anchorId="5585FF44" wp14:editId="109EC0A7">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Pr="00125705" w:rsidRDefault="00E675AB" w:rsidP="004E0ED8">
      <w:pPr>
        <w:pStyle w:val="Body"/>
        <w:ind w:right="261"/>
        <w:jc w:val="center"/>
        <w:rPr>
          <w:rFonts w:eastAsia="Calibri"/>
          <w:b/>
          <w:bCs/>
          <w:iCs/>
          <w:color w:val="auto"/>
        </w:rPr>
      </w:pPr>
    </w:p>
    <w:p w:rsidR="00475558" w:rsidRPr="00125705" w:rsidRDefault="00416A55" w:rsidP="004E0ED8">
      <w:pPr>
        <w:pStyle w:val="Body"/>
        <w:ind w:right="261"/>
        <w:jc w:val="center"/>
        <w:rPr>
          <w:rFonts w:eastAsia="Calibri"/>
          <w:b/>
          <w:bCs/>
          <w:iCs/>
          <w:color w:val="auto"/>
        </w:rPr>
      </w:pPr>
      <w:r w:rsidRPr="00125705">
        <w:rPr>
          <w:rFonts w:eastAsia="Calibri"/>
          <w:b/>
          <w:bCs/>
          <w:iCs/>
          <w:color w:val="auto"/>
        </w:rPr>
        <w:t xml:space="preserve">Lead Analyst </w:t>
      </w:r>
    </w:p>
    <w:p w:rsidR="007A2EEB" w:rsidRPr="00125705"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125705" w:rsidRPr="00125705" w:rsidTr="00293533">
        <w:tc>
          <w:tcPr>
            <w:tcW w:w="2127" w:type="dxa"/>
            <w:vAlign w:val="center"/>
          </w:tcPr>
          <w:p w:rsidR="007A2EEB" w:rsidRPr="00125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125705">
              <w:rPr>
                <w:rFonts w:eastAsia="Calibri"/>
                <w:b/>
                <w:bCs/>
                <w:iCs/>
                <w:color w:val="auto"/>
              </w:rPr>
              <w:t>Job Title:</w:t>
            </w:r>
          </w:p>
        </w:tc>
        <w:tc>
          <w:tcPr>
            <w:tcW w:w="3092" w:type="dxa"/>
            <w:vAlign w:val="center"/>
          </w:tcPr>
          <w:p w:rsidR="007A2EEB" w:rsidRPr="00125705" w:rsidRDefault="00416A55" w:rsidP="00484CE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25705">
              <w:rPr>
                <w:rFonts w:eastAsia="Calibri"/>
                <w:bCs/>
                <w:iCs/>
                <w:color w:val="auto"/>
              </w:rPr>
              <w:t xml:space="preserve">Lead Analyst </w:t>
            </w:r>
          </w:p>
        </w:tc>
        <w:tc>
          <w:tcPr>
            <w:tcW w:w="2309" w:type="dxa"/>
            <w:vAlign w:val="center"/>
          </w:tcPr>
          <w:p w:rsidR="007A2EEB" w:rsidRPr="00125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125705">
              <w:rPr>
                <w:rFonts w:eastAsia="Calibri"/>
                <w:b/>
                <w:bCs/>
                <w:iCs/>
                <w:color w:val="auto"/>
              </w:rPr>
              <w:t>Date:</w:t>
            </w:r>
          </w:p>
        </w:tc>
        <w:tc>
          <w:tcPr>
            <w:tcW w:w="2820" w:type="dxa"/>
            <w:vAlign w:val="center"/>
          </w:tcPr>
          <w:p w:rsidR="007A2EEB" w:rsidRPr="00125705" w:rsidRDefault="00416A55"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25705">
              <w:rPr>
                <w:rFonts w:eastAsia="Calibri"/>
                <w:bCs/>
                <w:iCs/>
                <w:color w:val="auto"/>
              </w:rPr>
              <w:t>March 2019</w:t>
            </w:r>
          </w:p>
        </w:tc>
      </w:tr>
      <w:tr w:rsidR="00125705" w:rsidRPr="00125705" w:rsidTr="00293533">
        <w:tc>
          <w:tcPr>
            <w:tcW w:w="2127" w:type="dxa"/>
            <w:vAlign w:val="center"/>
          </w:tcPr>
          <w:p w:rsidR="007A2EEB" w:rsidRPr="00125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125705">
              <w:rPr>
                <w:rFonts w:eastAsia="Calibri"/>
                <w:b/>
                <w:bCs/>
                <w:iCs/>
                <w:color w:val="auto"/>
              </w:rPr>
              <w:t>Reporting Line:</w:t>
            </w:r>
          </w:p>
        </w:tc>
        <w:tc>
          <w:tcPr>
            <w:tcW w:w="3092" w:type="dxa"/>
            <w:vAlign w:val="center"/>
          </w:tcPr>
          <w:p w:rsidR="007A2EEB" w:rsidRPr="00125705" w:rsidRDefault="00416A5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25705">
              <w:rPr>
                <w:rFonts w:eastAsia="Calibri"/>
                <w:bCs/>
                <w:iCs/>
                <w:color w:val="auto"/>
              </w:rPr>
              <w:t>Principal</w:t>
            </w:r>
          </w:p>
        </w:tc>
        <w:tc>
          <w:tcPr>
            <w:tcW w:w="2309" w:type="dxa"/>
            <w:vAlign w:val="center"/>
          </w:tcPr>
          <w:p w:rsidR="007A2EEB" w:rsidRPr="00125705"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125705">
              <w:rPr>
                <w:rFonts w:eastAsia="Calibri"/>
                <w:b/>
                <w:bCs/>
                <w:iCs/>
                <w:color w:val="auto"/>
              </w:rPr>
              <w:t>Salary:</w:t>
            </w:r>
          </w:p>
        </w:tc>
        <w:tc>
          <w:tcPr>
            <w:tcW w:w="2820" w:type="dxa"/>
            <w:vAlign w:val="center"/>
          </w:tcPr>
          <w:p w:rsidR="00416A55" w:rsidRPr="00125705"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25705">
              <w:rPr>
                <w:rFonts w:eastAsia="Calibri"/>
                <w:bCs/>
                <w:iCs/>
                <w:color w:val="auto"/>
              </w:rPr>
              <w:t>Grade 7</w:t>
            </w:r>
          </w:p>
          <w:p w:rsidR="00416A55" w:rsidRPr="00125705"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r w:rsidR="00125705" w:rsidRPr="00125705" w:rsidTr="00293533">
        <w:tc>
          <w:tcPr>
            <w:tcW w:w="2127" w:type="dxa"/>
            <w:vAlign w:val="center"/>
          </w:tcPr>
          <w:p w:rsidR="007A2EEB" w:rsidRPr="00125705"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125705">
              <w:rPr>
                <w:rFonts w:eastAsia="Calibri"/>
                <w:b/>
                <w:bCs/>
                <w:iCs/>
                <w:color w:val="auto"/>
              </w:rPr>
              <w:t>Team</w:t>
            </w:r>
            <w:r w:rsidR="007A2EEB" w:rsidRPr="00125705">
              <w:rPr>
                <w:rFonts w:eastAsia="Calibri"/>
                <w:b/>
                <w:bCs/>
                <w:iCs/>
                <w:color w:val="auto"/>
              </w:rPr>
              <w:t>:</w:t>
            </w:r>
          </w:p>
        </w:tc>
        <w:tc>
          <w:tcPr>
            <w:tcW w:w="3092" w:type="dxa"/>
            <w:vAlign w:val="center"/>
          </w:tcPr>
          <w:p w:rsidR="007A2EEB" w:rsidRPr="00125705" w:rsidRDefault="00416A55"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25705">
              <w:rPr>
                <w:rFonts w:eastAsia="Calibri"/>
                <w:bCs/>
                <w:iCs/>
                <w:color w:val="auto"/>
              </w:rPr>
              <w:t>Research and Strategy</w:t>
            </w:r>
          </w:p>
        </w:tc>
        <w:tc>
          <w:tcPr>
            <w:tcW w:w="2309" w:type="dxa"/>
            <w:vAlign w:val="center"/>
          </w:tcPr>
          <w:p w:rsidR="007A2EEB" w:rsidRPr="00125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125705">
              <w:rPr>
                <w:rFonts w:eastAsia="Calibri"/>
                <w:b/>
                <w:bCs/>
                <w:iCs/>
                <w:color w:val="auto"/>
              </w:rPr>
              <w:t>Business Area:</w:t>
            </w:r>
          </w:p>
        </w:tc>
        <w:tc>
          <w:tcPr>
            <w:tcW w:w="2820" w:type="dxa"/>
            <w:vAlign w:val="center"/>
          </w:tcPr>
          <w:p w:rsidR="007A2EEB" w:rsidRPr="00125705" w:rsidRDefault="00DE59E0"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25705">
              <w:rPr>
                <w:rFonts w:eastAsia="Calibri"/>
                <w:bCs/>
                <w:iCs/>
                <w:color w:val="auto"/>
              </w:rPr>
              <w:t>Policy and Strategy</w:t>
            </w:r>
            <w:r w:rsidR="00416A55" w:rsidRPr="00125705">
              <w:rPr>
                <w:rFonts w:eastAsia="Calibri"/>
                <w:bCs/>
                <w:iCs/>
                <w:color w:val="auto"/>
              </w:rPr>
              <w:t xml:space="preserve"> </w:t>
            </w:r>
          </w:p>
        </w:tc>
      </w:tr>
    </w:tbl>
    <w:p w:rsidR="007A2EEB" w:rsidRPr="00125705"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125705" w:rsidRPr="00125705"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125705" w:rsidRDefault="00A6609A" w:rsidP="007A2EEB">
            <w:pPr>
              <w:pStyle w:val="Heading3"/>
              <w:ind w:right="261"/>
              <w:rPr>
                <w:color w:val="auto"/>
                <w:sz w:val="22"/>
                <w:szCs w:val="22"/>
                <w:lang w:val="en-GB"/>
              </w:rPr>
            </w:pPr>
            <w:r w:rsidRPr="00125705">
              <w:rPr>
                <w:rFonts w:eastAsia="Calibri"/>
                <w:color w:val="auto"/>
                <w:sz w:val="22"/>
                <w:szCs w:val="22"/>
                <w:lang w:val="en-GB"/>
              </w:rPr>
              <w:t>JOB PURPOSE</w:t>
            </w:r>
          </w:p>
        </w:tc>
      </w:tr>
      <w:tr w:rsidR="00A6609A" w:rsidRPr="00125705"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DE59E0" w:rsidRPr="00125705" w:rsidRDefault="00DE59E0" w:rsidP="00DE5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125705">
              <w:rPr>
                <w:rFonts w:ascii="Arial" w:hAnsi="Arial" w:cs="Arial"/>
                <w:sz w:val="22"/>
                <w:szCs w:val="22"/>
                <w:lang w:val="en-GB"/>
              </w:rPr>
              <w:t>To hold senior responsibilities within the GMCA Research team, delivering research projects and analysis for internal and external customers. Working with the wider policy and strategy teams in the GMCA and partner organisations to use evidence to support decision making. To disseminate evidence to a wide range of audiences and partners, including the delivery of training, and to ensure that this research informs Greater Manchester’s strategic objectives.</w:t>
            </w:r>
          </w:p>
          <w:p w:rsidR="00DE59E0" w:rsidRPr="00125705" w:rsidRDefault="00DE59E0" w:rsidP="00DE5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rsidR="00D467BE" w:rsidRPr="00125705" w:rsidRDefault="006C2DDC"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125705">
              <w:rPr>
                <w:rFonts w:ascii="Arial" w:hAnsi="Arial" w:cs="Arial"/>
                <w:sz w:val="22"/>
                <w:szCs w:val="22"/>
                <w:lang w:val="en-GB"/>
              </w:rPr>
              <w:t>The role</w:t>
            </w:r>
            <w:r w:rsidR="00DE59E0" w:rsidRPr="00125705">
              <w:rPr>
                <w:rFonts w:ascii="Arial" w:hAnsi="Arial" w:cs="Arial"/>
                <w:sz w:val="22"/>
                <w:szCs w:val="22"/>
                <w:lang w:val="en-GB"/>
              </w:rPr>
              <w:t xml:space="preserve"> is responsible for supporting the activities of the ageing hub and helping to embed and grow Greater Manchester’s age friendly city region</w:t>
            </w:r>
            <w:r w:rsidR="00FD7C80" w:rsidRPr="00125705">
              <w:rPr>
                <w:rFonts w:ascii="Arial" w:hAnsi="Arial" w:cs="Arial"/>
                <w:sz w:val="22"/>
                <w:szCs w:val="22"/>
                <w:lang w:val="en-GB"/>
              </w:rPr>
              <w:t xml:space="preserve"> status. The postholder will be responsible for delivery </w:t>
            </w:r>
            <w:r w:rsidR="00E255FA" w:rsidRPr="00125705">
              <w:rPr>
                <w:rFonts w:ascii="Arial" w:hAnsi="Arial" w:cs="Arial"/>
                <w:sz w:val="22"/>
                <w:szCs w:val="22"/>
                <w:lang w:val="en-GB"/>
              </w:rPr>
              <w:t xml:space="preserve">of </w:t>
            </w:r>
            <w:r w:rsidR="00FD7C80" w:rsidRPr="00125705">
              <w:rPr>
                <w:rFonts w:ascii="Arial" w:hAnsi="Arial" w:cs="Arial"/>
                <w:sz w:val="22"/>
                <w:szCs w:val="22"/>
                <w:lang w:val="en-GB"/>
              </w:rPr>
              <w:t>evaluations which prim</w:t>
            </w:r>
            <w:r w:rsidR="00B044A6" w:rsidRPr="00125705">
              <w:rPr>
                <w:rFonts w:ascii="Arial" w:hAnsi="Arial" w:cs="Arial"/>
                <w:sz w:val="22"/>
                <w:szCs w:val="22"/>
                <w:lang w:val="en-GB"/>
              </w:rPr>
              <w:t>arily support the ageing agenda, but also help to embed evaluation techniques and practices across the team. This includes the Ambition for Ageing (AfA), £10.2 million Greater Manchester (GM) wide initiative aimed at creating more age friendly places and empowering people to live fulfilling lives as they age.</w:t>
            </w:r>
          </w:p>
          <w:p w:rsidR="001D18B9" w:rsidRPr="00125705" w:rsidRDefault="001D18B9"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rsidR="001D18B9" w:rsidRPr="00125705" w:rsidRDefault="001D18B9" w:rsidP="001D18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125705">
              <w:rPr>
                <w:rFonts w:ascii="Arial" w:hAnsi="Arial" w:cs="Arial"/>
                <w:sz w:val="22"/>
                <w:szCs w:val="22"/>
                <w:lang w:val="en-GB"/>
              </w:rPr>
              <w:t>This post reports to the Principal for Evaluation in the GMCA Research Team but requires direct working with partners from the GMCA Ageing Hub and the Greater Manchester Centre for Voluntary Organisations.</w:t>
            </w:r>
          </w:p>
        </w:tc>
      </w:tr>
    </w:tbl>
    <w:p w:rsidR="00A6609A" w:rsidRPr="00125705" w:rsidRDefault="00A6609A"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125705" w:rsidRPr="00125705" w:rsidTr="00D05248">
        <w:trPr>
          <w:trHeight w:val="180"/>
          <w:jc w:val="center"/>
        </w:trPr>
        <w:tc>
          <w:tcPr>
            <w:tcW w:w="10356" w:type="dxa"/>
            <w:shd w:val="clear" w:color="auto" w:fill="000000"/>
            <w:tcMar>
              <w:top w:w="80" w:type="dxa"/>
              <w:left w:w="80" w:type="dxa"/>
              <w:bottom w:w="80" w:type="dxa"/>
              <w:right w:w="80" w:type="dxa"/>
            </w:tcMar>
            <w:vAlign w:val="center"/>
          </w:tcPr>
          <w:p w:rsidR="00FD7C80" w:rsidRPr="00125705" w:rsidRDefault="00FD7C80" w:rsidP="00561818">
            <w:pPr>
              <w:pStyle w:val="Body"/>
              <w:pBdr>
                <w:top w:val="none" w:sz="0" w:space="0" w:color="auto"/>
                <w:left w:val="none" w:sz="0" w:space="0" w:color="auto"/>
                <w:bottom w:val="none" w:sz="0" w:space="0" w:color="auto"/>
                <w:right w:val="none" w:sz="0" w:space="0" w:color="auto"/>
              </w:pBdr>
              <w:ind w:right="261"/>
              <w:rPr>
                <w:color w:val="auto"/>
              </w:rPr>
            </w:pPr>
            <w:r w:rsidRPr="00125705">
              <w:rPr>
                <w:b/>
                <w:bCs/>
                <w:i/>
                <w:iCs/>
                <w:color w:val="auto"/>
              </w:rPr>
              <w:br w:type="page"/>
            </w:r>
            <w:r w:rsidRPr="00125705">
              <w:rPr>
                <w:b/>
                <w:bCs/>
                <w:color w:val="auto"/>
                <w:u w:color="FFFFFF"/>
              </w:rPr>
              <w:t>KEY REPONSIBILITIES</w:t>
            </w:r>
          </w:p>
        </w:tc>
      </w:tr>
      <w:tr w:rsidR="00B044A6" w:rsidRPr="00125705" w:rsidTr="00366237">
        <w:trPr>
          <w:trHeight w:val="897"/>
          <w:jc w:val="center"/>
        </w:trPr>
        <w:tc>
          <w:tcPr>
            <w:tcW w:w="10356" w:type="dxa"/>
            <w:tcMar>
              <w:top w:w="80" w:type="dxa"/>
              <w:left w:w="363" w:type="dxa"/>
              <w:bottom w:w="80" w:type="dxa"/>
              <w:right w:w="80" w:type="dxa"/>
            </w:tcMar>
          </w:tcPr>
          <w:p w:rsidR="00B044A6" w:rsidRPr="00125705" w:rsidRDefault="00B044A6"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Evaluation of the AfA Programme, building on previou</w:t>
            </w:r>
            <w:r w:rsidR="00E255FA" w:rsidRPr="00125705">
              <w:rPr>
                <w:color w:val="auto"/>
                <w:lang w:val="en-GB"/>
              </w:rPr>
              <w:t>s quarterly / interim reporting. P</w:t>
            </w:r>
            <w:r w:rsidRPr="00125705">
              <w:rPr>
                <w:color w:val="auto"/>
                <w:lang w:val="en-GB"/>
              </w:rPr>
              <w:t>roviding a final evalu</w:t>
            </w:r>
            <w:r w:rsidR="00E255FA" w:rsidRPr="00125705">
              <w:rPr>
                <w:color w:val="auto"/>
                <w:lang w:val="en-GB"/>
              </w:rPr>
              <w:t>ation of the full AfA programme and</w:t>
            </w:r>
            <w:r w:rsidRPr="00125705">
              <w:rPr>
                <w:color w:val="auto"/>
                <w:lang w:val="en-GB"/>
              </w:rPr>
              <w:t xml:space="preserve"> assessing the impact</w:t>
            </w:r>
            <w:r w:rsidR="00E255FA" w:rsidRPr="00125705">
              <w:rPr>
                <w:color w:val="auto"/>
                <w:lang w:val="en-GB"/>
              </w:rPr>
              <w:t>,</w:t>
            </w:r>
            <w:r w:rsidRPr="00125705">
              <w:rPr>
                <w:color w:val="auto"/>
                <w:lang w:val="en-GB"/>
              </w:rPr>
              <w:t xml:space="preserve"> bringing together learning around delivery.</w:t>
            </w:r>
          </w:p>
          <w:p w:rsidR="001D18B9" w:rsidRPr="00125705" w:rsidRDefault="0082759B"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Providing</w:t>
            </w:r>
            <w:r w:rsidR="001D18B9" w:rsidRPr="00125705">
              <w:rPr>
                <w:color w:val="auto"/>
                <w:lang w:val="en-GB"/>
              </w:rPr>
              <w:t xml:space="preserve"> recommendations of how learning from the AfA Programme can be implemented and working with partners to </w:t>
            </w:r>
            <w:r w:rsidRPr="00125705">
              <w:rPr>
                <w:color w:val="auto"/>
                <w:lang w:val="en-GB"/>
              </w:rPr>
              <w:t>identify practical steps.</w:t>
            </w:r>
          </w:p>
          <w:p w:rsidR="00B044A6" w:rsidRPr="00125705" w:rsidRDefault="00B044A6"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Designing and producing guidance and a set of tools to drive standards in evaluation GM-wide, including a register of existing evaluation activity and methods to maintain</w:t>
            </w:r>
            <w:r w:rsidR="00CA7D5A" w:rsidRPr="00125705">
              <w:rPr>
                <w:color w:val="auto"/>
                <w:lang w:val="en-GB"/>
              </w:rPr>
              <w:t>.</w:t>
            </w:r>
          </w:p>
          <w:p w:rsidR="008A659A" w:rsidRPr="00125705" w:rsidRDefault="008A659A" w:rsidP="001E052C">
            <w:pPr>
              <w:pStyle w:val="ListParagraph"/>
              <w:numPr>
                <w:ilvl w:val="0"/>
                <w:numId w:val="3"/>
              </w:numPr>
              <w:jc w:val="both"/>
              <w:rPr>
                <w:color w:val="auto"/>
                <w:lang w:val="en-GB"/>
              </w:rPr>
            </w:pPr>
            <w:r w:rsidRPr="00125705">
              <w:rPr>
                <w:color w:val="auto"/>
                <w:lang w:val="en-GB"/>
              </w:rPr>
              <w:t>Key liaison point for wider policy relating to ageing, working in partnership with a wide range of regional, national and international agencies including the Centre for Ageing Better, local universities, Eurocities and the World Health Organization and helping to increase the visibility of ageing research within the wider economic and reform agenda of the Mayor and Greater Manchester Combined Authority.</w:t>
            </w:r>
          </w:p>
          <w:p w:rsidR="00CA7D5A" w:rsidRPr="00125705" w:rsidRDefault="00CA7D5A" w:rsidP="001E052C">
            <w:pPr>
              <w:pStyle w:val="ListParagraph"/>
              <w:numPr>
                <w:ilvl w:val="0"/>
                <w:numId w:val="3"/>
              </w:numPr>
              <w:jc w:val="both"/>
              <w:rPr>
                <w:color w:val="auto"/>
                <w:lang w:val="en-GB"/>
              </w:rPr>
            </w:pPr>
            <w:r w:rsidRPr="00125705">
              <w:rPr>
                <w:color w:val="auto"/>
                <w:lang w:val="en-GB"/>
              </w:rPr>
              <w:t xml:space="preserve">Tracking policy and key initiatives as they relate to ageing agenda and in support of Ageing priority within the Greater Manchester Strategy. </w:t>
            </w:r>
          </w:p>
          <w:p w:rsidR="00B044A6" w:rsidRPr="00125705" w:rsidRDefault="00B044A6" w:rsidP="001E052C">
            <w:pPr>
              <w:pStyle w:val="ListParagraph"/>
              <w:numPr>
                <w:ilvl w:val="0"/>
                <w:numId w:val="3"/>
              </w:numPr>
              <w:jc w:val="both"/>
              <w:rPr>
                <w:color w:val="auto"/>
                <w:lang w:val="en-GB"/>
              </w:rPr>
            </w:pPr>
            <w:r w:rsidRPr="00125705">
              <w:rPr>
                <w:color w:val="auto"/>
                <w:lang w:val="en-GB"/>
              </w:rPr>
              <w:t>Project management of all sizes and lengths of pr</w:t>
            </w:r>
            <w:r w:rsidR="0082759B" w:rsidRPr="00125705">
              <w:rPr>
                <w:color w:val="auto"/>
                <w:lang w:val="en-GB"/>
              </w:rPr>
              <w:t>oject from start to completion, potentially running simultaneously with competing deadlines.</w:t>
            </w:r>
          </w:p>
          <w:p w:rsidR="00B044A6" w:rsidRPr="00125705" w:rsidRDefault="00B044A6" w:rsidP="001E052C">
            <w:pPr>
              <w:pStyle w:val="ListParagraph"/>
              <w:numPr>
                <w:ilvl w:val="0"/>
                <w:numId w:val="3"/>
              </w:numPr>
              <w:jc w:val="both"/>
              <w:rPr>
                <w:color w:val="auto"/>
                <w:lang w:val="en-GB"/>
              </w:rPr>
            </w:pPr>
            <w:r w:rsidRPr="00125705">
              <w:rPr>
                <w:color w:val="auto"/>
                <w:lang w:val="en-GB"/>
              </w:rPr>
              <w:t>Responsible for identifying, designing and developing new tools and techniques within thematic area and for leading on training on these assets</w:t>
            </w:r>
          </w:p>
          <w:p w:rsidR="00CA7D5A" w:rsidRPr="00125705" w:rsidRDefault="00CA7D5A"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Lead on the delivery of training on subject matter expertise. Able to provide training to non-experts</w:t>
            </w:r>
          </w:p>
          <w:p w:rsidR="00B044A6" w:rsidRPr="00125705" w:rsidRDefault="00B044A6" w:rsidP="001E052C">
            <w:pPr>
              <w:pStyle w:val="ListParagraph"/>
              <w:numPr>
                <w:ilvl w:val="0"/>
                <w:numId w:val="3"/>
              </w:numPr>
              <w:jc w:val="both"/>
              <w:rPr>
                <w:color w:val="auto"/>
                <w:lang w:val="en-GB"/>
              </w:rPr>
            </w:pPr>
            <w:r w:rsidRPr="00125705">
              <w:rPr>
                <w:color w:val="auto"/>
                <w:lang w:val="en-GB"/>
              </w:rPr>
              <w:t>Responsible for coordinating / tracking project or team finances and supporting with funding bids activities as appropriate</w:t>
            </w:r>
          </w:p>
          <w:p w:rsidR="00B044A6" w:rsidRPr="00125705" w:rsidRDefault="00B044A6" w:rsidP="001E052C">
            <w:pPr>
              <w:pStyle w:val="ListParagraph"/>
              <w:numPr>
                <w:ilvl w:val="0"/>
                <w:numId w:val="3"/>
              </w:numPr>
              <w:jc w:val="both"/>
              <w:rPr>
                <w:color w:val="auto"/>
                <w:lang w:val="en-GB"/>
              </w:rPr>
            </w:pPr>
            <w:r w:rsidRPr="00125705">
              <w:rPr>
                <w:color w:val="auto"/>
                <w:lang w:val="en-GB"/>
              </w:rPr>
              <w:lastRenderedPageBreak/>
              <w:t>Communicate research findings to a range of audiences both internal and external (verbal, written reports, and/or presentations).</w:t>
            </w:r>
          </w:p>
          <w:p w:rsidR="00B044A6" w:rsidRPr="00125705" w:rsidRDefault="00CA7D5A"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 xml:space="preserve">Informal line management responsibility may be required in </w:t>
            </w:r>
            <w:r w:rsidR="00676D10" w:rsidRPr="00125705">
              <w:rPr>
                <w:color w:val="auto"/>
                <w:lang w:val="en-GB"/>
              </w:rPr>
              <w:t>line with business requirements.</w:t>
            </w:r>
          </w:p>
          <w:p w:rsidR="00B044A6" w:rsidRPr="00125705" w:rsidRDefault="00676D10" w:rsidP="0082759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 xml:space="preserve">Responsibilities for following data handling procedures correctly, including knowledge of legal requirements and </w:t>
            </w:r>
            <w:r w:rsidR="00525992" w:rsidRPr="00125705">
              <w:rPr>
                <w:color w:val="auto"/>
                <w:lang w:val="en-GB"/>
              </w:rPr>
              <w:t xml:space="preserve">a </w:t>
            </w:r>
            <w:r w:rsidRPr="00125705">
              <w:rPr>
                <w:color w:val="auto"/>
                <w:lang w:val="en-GB"/>
              </w:rPr>
              <w:t>commitment to high ethical standards.</w:t>
            </w:r>
          </w:p>
        </w:tc>
      </w:tr>
    </w:tbl>
    <w:p w:rsidR="00FD7C80" w:rsidRPr="00125705" w:rsidRDefault="00FD7C80" w:rsidP="00F77DB9">
      <w:pPr>
        <w:pStyle w:val="Body"/>
        <w:ind w:left="-567" w:right="261"/>
        <w:rPr>
          <w:rFonts w:eastAsia="Calibri"/>
          <w:b/>
          <w:bCs/>
          <w:iCs/>
          <w:color w:val="auto"/>
        </w:rPr>
      </w:pPr>
    </w:p>
    <w:p w:rsidR="00D05248" w:rsidRPr="00125705" w:rsidRDefault="00D05248" w:rsidP="00F77DB9">
      <w:pPr>
        <w:pStyle w:val="Body"/>
        <w:ind w:left="-567" w:right="261"/>
        <w:rPr>
          <w:rFonts w:eastAsia="Calibri"/>
          <w:b/>
          <w:bCs/>
          <w:iCs/>
          <w:color w:val="auto"/>
        </w:rPr>
      </w:pPr>
    </w:p>
    <w:p w:rsidR="00D05248" w:rsidRPr="00125705" w:rsidRDefault="00D05248"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125705" w:rsidRPr="00125705" w:rsidTr="00D05248">
        <w:trPr>
          <w:trHeight w:val="180"/>
          <w:jc w:val="center"/>
        </w:trPr>
        <w:tc>
          <w:tcPr>
            <w:tcW w:w="10356" w:type="dxa"/>
            <w:shd w:val="clear" w:color="auto" w:fill="000000"/>
            <w:tcMar>
              <w:top w:w="80" w:type="dxa"/>
              <w:left w:w="80" w:type="dxa"/>
              <w:bottom w:w="80" w:type="dxa"/>
              <w:right w:w="80" w:type="dxa"/>
            </w:tcMar>
            <w:vAlign w:val="center"/>
          </w:tcPr>
          <w:p w:rsidR="00FD7C80" w:rsidRPr="00125705" w:rsidRDefault="00FD7C80" w:rsidP="00561818">
            <w:pPr>
              <w:pStyle w:val="Body"/>
              <w:pBdr>
                <w:top w:val="none" w:sz="0" w:space="0" w:color="auto"/>
                <w:left w:val="none" w:sz="0" w:space="0" w:color="auto"/>
                <w:bottom w:val="none" w:sz="0" w:space="0" w:color="auto"/>
                <w:right w:val="none" w:sz="0" w:space="0" w:color="auto"/>
              </w:pBdr>
              <w:ind w:right="261"/>
              <w:rPr>
                <w:color w:val="auto"/>
              </w:rPr>
            </w:pPr>
            <w:r w:rsidRPr="00125705">
              <w:rPr>
                <w:b/>
                <w:bCs/>
                <w:i/>
                <w:iCs/>
                <w:color w:val="auto"/>
              </w:rPr>
              <w:br w:type="page"/>
            </w:r>
            <w:r w:rsidRPr="00125705">
              <w:rPr>
                <w:b/>
                <w:bCs/>
                <w:color w:val="auto"/>
                <w:u w:color="FFFFFF"/>
              </w:rPr>
              <w:t>DIMENSIONS</w:t>
            </w:r>
          </w:p>
        </w:tc>
      </w:tr>
      <w:tr w:rsidR="00FD7C80" w:rsidRPr="00125705" w:rsidTr="00D05248">
        <w:trPr>
          <w:trHeight w:val="897"/>
          <w:jc w:val="center"/>
        </w:trPr>
        <w:tc>
          <w:tcPr>
            <w:tcW w:w="10356" w:type="dxa"/>
            <w:tcMar>
              <w:top w:w="80" w:type="dxa"/>
              <w:left w:w="363" w:type="dxa"/>
              <w:bottom w:w="80" w:type="dxa"/>
              <w:right w:w="80" w:type="dxa"/>
            </w:tcMar>
            <w:vAlign w:val="center"/>
          </w:tcPr>
          <w:p w:rsidR="00CA7D5A" w:rsidRPr="00125705" w:rsidRDefault="00CA7D5A" w:rsidP="001E05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iCs/>
                <w:color w:val="auto"/>
                <w:bdr w:val="none" w:sz="0" w:space="0" w:color="auto"/>
                <w:lang w:val="en-GB"/>
              </w:rPr>
            </w:pPr>
            <w:r w:rsidRPr="00125705">
              <w:rPr>
                <w:bCs/>
                <w:iCs/>
                <w:color w:val="auto"/>
                <w:lang w:val="en-GB"/>
              </w:rPr>
              <w:t>Work with key strategic partners at local and national levels including:</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 xml:space="preserve">Greater Manchester Ageing Hub </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 xml:space="preserve">GMCA policy specialists </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National and local government officials</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The GM Local Enterprise Partnership</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GM’s 10 Local Authorities and public sector colleagues in transport and health</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Greater Manchester Centre for Voluntary Organisations (GMCVO) – as key contacts for AfA</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Manchester Institute for Collaborative Research on Aging (MICRA) – part of the University of Manchester</w:t>
            </w:r>
          </w:p>
          <w:p w:rsidR="006817FE" w:rsidRPr="00125705" w:rsidRDefault="006817FE"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University of Manchester Urban Ageing Research Group</w:t>
            </w:r>
          </w:p>
          <w:p w:rsidR="006817FE" w:rsidRPr="00125705" w:rsidRDefault="006817FE"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Centre for Ageing Better (CfAB)</w:t>
            </w:r>
          </w:p>
          <w:p w:rsidR="006817FE" w:rsidRPr="00125705" w:rsidRDefault="006817FE"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What Works Centre for Local Economic Growth</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Lesbian, Gay, Bisexual and Transgender Foundation (LGB&amp;TF)</w:t>
            </w:r>
          </w:p>
          <w:p w:rsidR="00CA7D5A"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lang w:val="en-GB"/>
              </w:rPr>
              <w:t>Manchester Community Central (MACC)</w:t>
            </w:r>
          </w:p>
          <w:p w:rsidR="00FD7C80" w:rsidRPr="00125705" w:rsidRDefault="00CA7D5A" w:rsidP="001E05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125705">
              <w:rPr>
                <w:color w:val="auto"/>
                <w:bdr w:val="none" w:sz="0" w:space="0" w:color="auto" w:frame="1"/>
                <w:lang w:val="en-GB"/>
              </w:rPr>
              <w:t xml:space="preserve">Other voluntary/public/private sector organisations, as relevant </w:t>
            </w:r>
          </w:p>
        </w:tc>
      </w:tr>
    </w:tbl>
    <w:p w:rsidR="00FA4C23" w:rsidRPr="00125705" w:rsidRDefault="00FA4C23" w:rsidP="00366237">
      <w:pPr>
        <w:pStyle w:val="Body"/>
        <w:ind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125705" w:rsidRPr="00125705"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125705" w:rsidRDefault="00FA4C23" w:rsidP="00561818">
            <w:pPr>
              <w:pStyle w:val="Body"/>
              <w:pBdr>
                <w:top w:val="none" w:sz="0" w:space="0" w:color="auto"/>
                <w:left w:val="none" w:sz="0" w:space="0" w:color="auto"/>
                <w:bottom w:val="none" w:sz="0" w:space="0" w:color="auto"/>
                <w:right w:val="none" w:sz="0" w:space="0" w:color="auto"/>
              </w:pBdr>
              <w:ind w:right="261"/>
              <w:rPr>
                <w:color w:val="auto"/>
              </w:rPr>
            </w:pPr>
            <w:r w:rsidRPr="00125705">
              <w:rPr>
                <w:b/>
                <w:bCs/>
                <w:i/>
                <w:iCs/>
                <w:color w:val="auto"/>
              </w:rPr>
              <w:br w:type="page"/>
            </w:r>
            <w:r w:rsidR="00A841E7" w:rsidRPr="00125705">
              <w:rPr>
                <w:b/>
                <w:bCs/>
                <w:color w:val="auto"/>
                <w:u w:color="FFFFFF"/>
              </w:rPr>
              <w:t>K</w:t>
            </w:r>
            <w:r w:rsidR="00FD7C80" w:rsidRPr="00125705">
              <w:rPr>
                <w:b/>
                <w:bCs/>
                <w:color w:val="auto"/>
                <w:u w:color="FFFFFF"/>
              </w:rPr>
              <w:t>NOWLEDGE, SKILLS AND EXPERIENCE</w:t>
            </w:r>
          </w:p>
        </w:tc>
      </w:tr>
      <w:tr w:rsidR="00FA4C23" w:rsidRPr="00125705" w:rsidTr="00416A55">
        <w:trPr>
          <w:trHeight w:val="897"/>
          <w:jc w:val="center"/>
        </w:trPr>
        <w:tc>
          <w:tcPr>
            <w:tcW w:w="10356" w:type="dxa"/>
            <w:tcMar>
              <w:top w:w="80" w:type="dxa"/>
              <w:left w:w="363" w:type="dxa"/>
              <w:bottom w:w="80" w:type="dxa"/>
              <w:right w:w="80" w:type="dxa"/>
            </w:tcMar>
            <w:vAlign w:val="center"/>
          </w:tcPr>
          <w:p w:rsidR="003A2FFD" w:rsidRPr="00125705" w:rsidRDefault="003A2FFD" w:rsidP="003A2FFD">
            <w:pPr>
              <w:tabs>
                <w:tab w:val="left" w:pos="371"/>
              </w:tabs>
              <w:ind w:left="-283"/>
              <w:rPr>
                <w:rFonts w:ascii="Arial" w:hAnsi="Arial" w:cs="Arial"/>
                <w:b/>
                <w:sz w:val="22"/>
                <w:szCs w:val="20"/>
              </w:rPr>
            </w:pPr>
            <w:r w:rsidRPr="00125705">
              <w:rPr>
                <w:rFonts w:ascii="Arial" w:hAnsi="Arial" w:cs="Arial"/>
                <w:b/>
                <w:sz w:val="22"/>
                <w:szCs w:val="20"/>
              </w:rPr>
              <w:t>Skills</w:t>
            </w:r>
          </w:p>
          <w:p w:rsidR="003A2FFD" w:rsidRPr="00125705" w:rsidRDefault="00D05248" w:rsidP="001E052C">
            <w:pPr>
              <w:pStyle w:val="ListParagraph"/>
              <w:numPr>
                <w:ilvl w:val="0"/>
                <w:numId w:val="3"/>
              </w:numPr>
              <w:ind w:right="261"/>
              <w:jc w:val="both"/>
              <w:rPr>
                <w:color w:val="auto"/>
                <w:lang w:val="en-GB"/>
              </w:rPr>
            </w:pPr>
            <w:r w:rsidRPr="00125705">
              <w:rPr>
                <w:color w:val="auto"/>
                <w:lang w:val="en-GB"/>
              </w:rPr>
              <w:t xml:space="preserve">Strong analytical capacity and experience of data collection. Ability to apply the most appropriate technique to the time and scope of the project.  </w:t>
            </w:r>
          </w:p>
          <w:p w:rsidR="00D05248" w:rsidRPr="00125705" w:rsidRDefault="00D05248" w:rsidP="001E052C">
            <w:pPr>
              <w:pStyle w:val="ListParagraph"/>
              <w:numPr>
                <w:ilvl w:val="0"/>
                <w:numId w:val="3"/>
              </w:numPr>
              <w:ind w:right="261"/>
              <w:jc w:val="both"/>
              <w:rPr>
                <w:color w:val="auto"/>
                <w:lang w:val="en-GB"/>
              </w:rPr>
            </w:pPr>
            <w:r w:rsidRPr="00125705">
              <w:rPr>
                <w:color w:val="auto"/>
                <w:lang w:val="en-GB"/>
              </w:rPr>
              <w:t xml:space="preserve">Strong interpersonal / communication skills with an attention to detail. Understanding appropriate communication technique with different stakeholders.  </w:t>
            </w:r>
          </w:p>
          <w:p w:rsidR="00D05248" w:rsidRPr="00125705" w:rsidRDefault="00D05248" w:rsidP="001E052C">
            <w:pPr>
              <w:pStyle w:val="ListParagraph"/>
              <w:numPr>
                <w:ilvl w:val="0"/>
                <w:numId w:val="3"/>
              </w:numPr>
              <w:ind w:right="261"/>
              <w:jc w:val="both"/>
              <w:rPr>
                <w:color w:val="auto"/>
                <w:lang w:val="en-GB"/>
              </w:rPr>
            </w:pPr>
            <w:r w:rsidRPr="00125705">
              <w:rPr>
                <w:color w:val="auto"/>
                <w:lang w:val="en-GB"/>
              </w:rPr>
              <w:t>Excellent ICT skills including spreadsheets, databases, PowerPoint, mapping, Ability to use advanced ICT packages where appropriate. Ability to identify appropriate ICT packages for analysis and sharing of research findings</w:t>
            </w:r>
          </w:p>
          <w:p w:rsidR="00D05248" w:rsidRPr="00125705" w:rsidRDefault="00D05248"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Project management and facilitation skills, Project management of all sizes of project from start to completion. Facilitating and leading internal project management meetings</w:t>
            </w:r>
          </w:p>
          <w:p w:rsidR="00525992" w:rsidRPr="00125705" w:rsidRDefault="00525992"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High level of skill in problem solving, working both autonomously and in collaboration with partners.</w:t>
            </w:r>
          </w:p>
          <w:p w:rsidR="00525992" w:rsidRPr="00125705" w:rsidRDefault="00525992"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Ability to prioritise effectively and manage competing deadlines.</w:t>
            </w:r>
          </w:p>
          <w:p w:rsidR="00D05248" w:rsidRPr="00125705" w:rsidRDefault="00D05248" w:rsidP="003A2FFD">
            <w:pPr>
              <w:ind w:left="360"/>
              <w:rPr>
                <w:rFonts w:ascii="Arial" w:hAnsi="Arial" w:cs="Arial"/>
                <w:sz w:val="22"/>
                <w:szCs w:val="20"/>
              </w:rPr>
            </w:pPr>
          </w:p>
          <w:p w:rsidR="003A2FFD" w:rsidRPr="00125705" w:rsidRDefault="003A2FFD" w:rsidP="003A2FFD">
            <w:pPr>
              <w:ind w:left="-283"/>
              <w:rPr>
                <w:rFonts w:ascii="Arial" w:hAnsi="Arial" w:cs="Arial"/>
                <w:b/>
                <w:sz w:val="22"/>
                <w:szCs w:val="20"/>
              </w:rPr>
            </w:pPr>
            <w:r w:rsidRPr="00125705">
              <w:rPr>
                <w:rFonts w:ascii="Arial" w:hAnsi="Arial" w:cs="Arial"/>
                <w:b/>
                <w:sz w:val="22"/>
                <w:szCs w:val="20"/>
              </w:rPr>
              <w:t>Experience</w:t>
            </w:r>
          </w:p>
          <w:p w:rsidR="00D05248" w:rsidRPr="00125705" w:rsidRDefault="00D05248"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Experience of quantitative and qualitative research and analysis including cost-benefit analysis (CBA)</w:t>
            </w:r>
          </w:p>
          <w:p w:rsidR="00D05248" w:rsidRPr="00125705" w:rsidRDefault="00D05248"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Experience of managing projects with multiple stakeholders, able to take own initiative and apply these to answer research questions – delivering elements of large projects and / or whole research projects</w:t>
            </w:r>
          </w:p>
          <w:p w:rsidR="003A2FFD" w:rsidRPr="00125705" w:rsidRDefault="00D05248" w:rsidP="001E052C">
            <w:pPr>
              <w:pStyle w:val="ListParagraph"/>
              <w:numPr>
                <w:ilvl w:val="0"/>
                <w:numId w:val="3"/>
              </w:numPr>
              <w:ind w:right="261"/>
              <w:jc w:val="both"/>
              <w:rPr>
                <w:color w:val="auto"/>
                <w:lang w:val="en-GB"/>
              </w:rPr>
            </w:pPr>
            <w:r w:rsidRPr="00125705">
              <w:rPr>
                <w:color w:val="auto"/>
                <w:lang w:val="en-GB"/>
              </w:rPr>
              <w:t xml:space="preserve">Experience in </w:t>
            </w:r>
            <w:r w:rsidR="003A2FFD" w:rsidRPr="00125705">
              <w:rPr>
                <w:color w:val="auto"/>
                <w:lang w:val="en-GB"/>
              </w:rPr>
              <w:t>deliver training to a variety of audiences</w:t>
            </w:r>
            <w:r w:rsidRPr="00125705">
              <w:rPr>
                <w:color w:val="auto"/>
                <w:lang w:val="en-GB"/>
              </w:rPr>
              <w:t>; l</w:t>
            </w:r>
            <w:r w:rsidR="003A2FFD" w:rsidRPr="00125705">
              <w:rPr>
                <w:color w:val="auto"/>
                <w:lang w:val="en-GB"/>
              </w:rPr>
              <w:t>ead</w:t>
            </w:r>
            <w:r w:rsidRPr="00125705">
              <w:rPr>
                <w:color w:val="auto"/>
                <w:lang w:val="en-GB"/>
              </w:rPr>
              <w:t>ing</w:t>
            </w:r>
            <w:r w:rsidR="003A2FFD" w:rsidRPr="00125705">
              <w:rPr>
                <w:color w:val="auto"/>
                <w:lang w:val="en-GB"/>
              </w:rPr>
              <w:t xml:space="preserve"> on train</w:t>
            </w:r>
            <w:r w:rsidRPr="00125705">
              <w:rPr>
                <w:color w:val="auto"/>
                <w:lang w:val="en-GB"/>
              </w:rPr>
              <w:t>ing on subject matter expertise and a</w:t>
            </w:r>
            <w:r w:rsidR="003A2FFD" w:rsidRPr="00125705">
              <w:rPr>
                <w:color w:val="auto"/>
                <w:lang w:val="en-GB"/>
              </w:rPr>
              <w:t>ble to provide training to non-experts.</w:t>
            </w:r>
          </w:p>
          <w:p w:rsidR="003A2FFD" w:rsidRPr="00125705" w:rsidRDefault="00D05248" w:rsidP="001E052C">
            <w:pPr>
              <w:pStyle w:val="ListParagraph"/>
              <w:numPr>
                <w:ilvl w:val="0"/>
                <w:numId w:val="3"/>
              </w:numPr>
              <w:ind w:right="261"/>
              <w:jc w:val="both"/>
              <w:rPr>
                <w:color w:val="auto"/>
                <w:lang w:val="en-GB"/>
              </w:rPr>
            </w:pPr>
            <w:r w:rsidRPr="00125705">
              <w:rPr>
                <w:color w:val="auto"/>
                <w:lang w:val="en-GB"/>
              </w:rPr>
              <w:t xml:space="preserve">Evidence of communicating research findings using a range of techniques </w:t>
            </w:r>
          </w:p>
          <w:p w:rsidR="003A2FFD" w:rsidRPr="00125705" w:rsidRDefault="003A2FFD" w:rsidP="00366237">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rsidR="003A2FFD" w:rsidRPr="00125705" w:rsidRDefault="003A2FFD" w:rsidP="003A2FFD">
            <w:pPr>
              <w:ind w:left="-283"/>
              <w:rPr>
                <w:rFonts w:ascii="Arial" w:hAnsi="Arial" w:cs="Arial"/>
                <w:b/>
                <w:sz w:val="22"/>
                <w:szCs w:val="20"/>
              </w:rPr>
            </w:pPr>
            <w:r w:rsidRPr="00125705">
              <w:rPr>
                <w:rFonts w:ascii="Arial" w:hAnsi="Arial" w:cs="Arial"/>
                <w:b/>
                <w:sz w:val="22"/>
                <w:szCs w:val="20"/>
              </w:rPr>
              <w:t>Knowledge</w:t>
            </w:r>
          </w:p>
          <w:p w:rsidR="003A2FFD" w:rsidRPr="00125705" w:rsidRDefault="003A2FFD"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Degree or equivalent qualification / experience plus 2 year’s minimum expected experience in a relevant field</w:t>
            </w:r>
          </w:p>
          <w:p w:rsidR="0099355A" w:rsidRPr="00125705" w:rsidRDefault="0099355A"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lastRenderedPageBreak/>
              <w:t>Broad understanding of local and national government policy landscape a</w:t>
            </w:r>
            <w:r w:rsidR="00D05248" w:rsidRPr="00125705">
              <w:rPr>
                <w:color w:val="auto"/>
                <w:lang w:val="en-GB"/>
              </w:rPr>
              <w:t>nd relationship to own research including ageing, public service reform and equalities.</w:t>
            </w:r>
          </w:p>
          <w:p w:rsidR="003A2FFD" w:rsidRPr="00125705" w:rsidRDefault="003A2FFD" w:rsidP="001E05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jc w:val="both"/>
              <w:rPr>
                <w:color w:val="auto"/>
                <w:lang w:val="en-GB"/>
              </w:rPr>
            </w:pPr>
            <w:r w:rsidRPr="00125705">
              <w:rPr>
                <w:color w:val="auto"/>
                <w:lang w:val="en-GB"/>
              </w:rPr>
              <w:t>Applied understanding of the use of research findings in policy and strategy developmen</w:t>
            </w:r>
            <w:r w:rsidR="0099355A" w:rsidRPr="00125705">
              <w:rPr>
                <w:color w:val="auto"/>
                <w:lang w:val="en-GB"/>
              </w:rPr>
              <w:t>t</w:t>
            </w:r>
            <w:r w:rsidR="00D05248" w:rsidRPr="00125705">
              <w:rPr>
                <w:color w:val="auto"/>
                <w:lang w:val="en-GB"/>
              </w:rPr>
              <w:t xml:space="preserve"> and able to identify improvements in work and potential implications of the research findings on multiple policy areas</w:t>
            </w:r>
          </w:p>
        </w:tc>
      </w:tr>
    </w:tbl>
    <w:p w:rsidR="006817FE" w:rsidRPr="00125705" w:rsidRDefault="006817FE"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125705" w:rsidRPr="00125705" w:rsidTr="00D05248">
        <w:trPr>
          <w:trHeight w:val="180"/>
          <w:jc w:val="center"/>
        </w:trPr>
        <w:tc>
          <w:tcPr>
            <w:tcW w:w="10356" w:type="dxa"/>
            <w:shd w:val="clear" w:color="auto" w:fill="000000"/>
            <w:tcMar>
              <w:top w:w="80" w:type="dxa"/>
              <w:left w:w="80" w:type="dxa"/>
              <w:bottom w:w="80" w:type="dxa"/>
              <w:right w:w="80" w:type="dxa"/>
            </w:tcMar>
            <w:vAlign w:val="center"/>
          </w:tcPr>
          <w:p w:rsidR="00FD7C80" w:rsidRPr="00125705" w:rsidRDefault="00FD7C80" w:rsidP="00561818">
            <w:pPr>
              <w:pStyle w:val="Body"/>
              <w:pBdr>
                <w:top w:val="none" w:sz="0" w:space="0" w:color="auto"/>
                <w:left w:val="none" w:sz="0" w:space="0" w:color="auto"/>
                <w:bottom w:val="none" w:sz="0" w:space="0" w:color="auto"/>
                <w:right w:val="none" w:sz="0" w:space="0" w:color="auto"/>
              </w:pBdr>
              <w:ind w:right="261"/>
              <w:rPr>
                <w:color w:val="auto"/>
              </w:rPr>
            </w:pPr>
            <w:r w:rsidRPr="00125705">
              <w:rPr>
                <w:b/>
                <w:bCs/>
                <w:i/>
                <w:iCs/>
                <w:color w:val="auto"/>
              </w:rPr>
              <w:br w:type="page"/>
            </w:r>
            <w:r w:rsidRPr="00125705">
              <w:rPr>
                <w:b/>
                <w:bCs/>
                <w:color w:val="auto"/>
                <w:u w:color="FFFFFF"/>
              </w:rPr>
              <w:t>CONTEXT</w:t>
            </w:r>
          </w:p>
        </w:tc>
      </w:tr>
      <w:tr w:rsidR="00FD7C80" w:rsidRPr="00125705" w:rsidTr="00D05248">
        <w:trPr>
          <w:trHeight w:val="897"/>
          <w:jc w:val="center"/>
        </w:trPr>
        <w:tc>
          <w:tcPr>
            <w:tcW w:w="10356" w:type="dxa"/>
            <w:tcMar>
              <w:top w:w="80" w:type="dxa"/>
              <w:left w:w="363" w:type="dxa"/>
              <w:bottom w:w="80" w:type="dxa"/>
              <w:right w:w="80" w:type="dxa"/>
            </w:tcMar>
            <w:vAlign w:val="center"/>
          </w:tcPr>
          <w:p w:rsidR="00FD7C80" w:rsidRPr="00125705" w:rsidRDefault="006333D1" w:rsidP="00366237">
            <w:pPr>
              <w:pStyle w:val="Default"/>
              <w:rPr>
                <w:rFonts w:ascii="Arial" w:eastAsia="Arial Unicode MS" w:hAnsi="Arial" w:cs="Arial"/>
                <w:color w:val="auto"/>
                <w:sz w:val="22"/>
                <w:szCs w:val="22"/>
                <w:bdr w:val="nil"/>
                <w:lang w:eastAsia="en-US"/>
              </w:rPr>
            </w:pPr>
            <w:r w:rsidRPr="00125705">
              <w:rPr>
                <w:rFonts w:ascii="Arial" w:eastAsia="Arial Unicode MS" w:hAnsi="Arial" w:cs="Arial"/>
                <w:color w:val="auto"/>
                <w:sz w:val="22"/>
                <w:szCs w:val="22"/>
                <w:bdr w:val="nil"/>
                <w:lang w:eastAsia="en-US"/>
              </w:rPr>
              <w:t xml:space="preserve">Greater Manchester places a </w:t>
            </w:r>
            <w:r w:rsidR="00C16A74" w:rsidRPr="00125705">
              <w:rPr>
                <w:rFonts w:ascii="Arial" w:eastAsia="Arial Unicode MS" w:hAnsi="Arial" w:cs="Arial"/>
                <w:color w:val="auto"/>
                <w:sz w:val="22"/>
                <w:szCs w:val="22"/>
                <w:bdr w:val="nil"/>
                <w:lang w:eastAsia="en-US"/>
              </w:rPr>
              <w:t>strong focus on evaluation of projects and programmes. This is in recognition of the vital role that evaluation plays in informing and shaping programme delivery and in evidencing the success or otherwise of activities undertaken. GMCA has a close partnership with the What Works Centre for Local Economic Growth and in partnership GM and WWC have delivered training and guidance externally on evaluation techniques and methodologies. The postholder will play a key role in undertaking evaluation and embedding evaluation techniques</w:t>
            </w:r>
            <w:r w:rsidR="00E255FA" w:rsidRPr="00125705">
              <w:rPr>
                <w:rFonts w:ascii="Arial" w:eastAsia="Arial Unicode MS" w:hAnsi="Arial" w:cs="Arial"/>
                <w:color w:val="auto"/>
                <w:sz w:val="22"/>
                <w:szCs w:val="22"/>
                <w:bdr w:val="nil"/>
                <w:lang w:eastAsia="en-US"/>
              </w:rPr>
              <w:t xml:space="preserve"> and best practice</w:t>
            </w:r>
            <w:r w:rsidR="00C16A74" w:rsidRPr="00125705">
              <w:rPr>
                <w:rFonts w:ascii="Arial" w:eastAsia="Arial Unicode MS" w:hAnsi="Arial" w:cs="Arial"/>
                <w:color w:val="auto"/>
                <w:sz w:val="22"/>
                <w:szCs w:val="22"/>
                <w:bdr w:val="nil"/>
                <w:lang w:eastAsia="en-US"/>
              </w:rPr>
              <w:t xml:space="preserve"> across the research team and with wider partners.</w:t>
            </w:r>
          </w:p>
          <w:p w:rsidR="00C16A74" w:rsidRPr="00125705" w:rsidRDefault="00C16A74" w:rsidP="00366237">
            <w:pPr>
              <w:pStyle w:val="Default"/>
              <w:rPr>
                <w:rFonts w:ascii="Arial" w:eastAsia="Arial Unicode MS" w:hAnsi="Arial" w:cs="Arial"/>
                <w:color w:val="auto"/>
                <w:sz w:val="22"/>
                <w:szCs w:val="22"/>
                <w:bdr w:val="nil"/>
                <w:lang w:eastAsia="en-US"/>
              </w:rPr>
            </w:pPr>
            <w:r w:rsidRPr="00125705">
              <w:rPr>
                <w:rFonts w:ascii="Arial" w:eastAsia="Arial Unicode MS" w:hAnsi="Arial" w:cs="Arial"/>
                <w:color w:val="auto"/>
                <w:sz w:val="22"/>
                <w:szCs w:val="22"/>
                <w:bdr w:val="nil"/>
                <w:lang w:eastAsia="en-US"/>
              </w:rPr>
              <w:t xml:space="preserve"> </w:t>
            </w:r>
          </w:p>
          <w:p w:rsidR="00C16A74" w:rsidRPr="00125705" w:rsidRDefault="006333D1" w:rsidP="00366237">
            <w:pPr>
              <w:pStyle w:val="Default"/>
              <w:rPr>
                <w:rFonts w:ascii="Arial" w:eastAsia="Arial Unicode MS" w:hAnsi="Arial" w:cs="Arial"/>
                <w:color w:val="auto"/>
                <w:sz w:val="22"/>
                <w:szCs w:val="22"/>
                <w:bdr w:val="nil"/>
                <w:lang w:eastAsia="en-US"/>
              </w:rPr>
            </w:pPr>
            <w:r w:rsidRPr="00125705">
              <w:rPr>
                <w:rFonts w:ascii="Arial" w:eastAsia="Arial Unicode MS" w:hAnsi="Arial" w:cs="Arial"/>
                <w:color w:val="auto"/>
                <w:sz w:val="22"/>
                <w:szCs w:val="22"/>
                <w:bdr w:val="nil"/>
                <w:lang w:eastAsia="en-US"/>
              </w:rPr>
              <w:t xml:space="preserve">Greater Manchester is the first age-friendly city-region in the UK with an ambition to improve the lives of people aged 50 and over living in Greater Manchester. Our vision, included within the Greater Manchester Strategy is that older residents are able to contribute to and benefit from sustained prosperity and enjoy a good quality of life. Working with partners we have set up the Greater Manchester Ageing Hub to coordinate a strategic response to the opportunities and challenges of an ageing population. The postholder will be responsible for supporting the strategic agenda on ageing. </w:t>
            </w:r>
          </w:p>
        </w:tc>
      </w:tr>
    </w:tbl>
    <w:p w:rsidR="00FA4C23" w:rsidRPr="00125705" w:rsidRDefault="00FA4C23" w:rsidP="00F77DB9">
      <w:pPr>
        <w:pStyle w:val="Body"/>
        <w:ind w:left="-567" w:right="261"/>
        <w:rPr>
          <w:rFonts w:eastAsia="Calibri"/>
          <w:b/>
          <w:bCs/>
          <w:iCs/>
          <w:color w:val="auto"/>
        </w:rPr>
      </w:pPr>
    </w:p>
    <w:p w:rsidR="0058655A" w:rsidRPr="00125705" w:rsidRDefault="003A2FFD" w:rsidP="00366237">
      <w:pPr>
        <w:pStyle w:val="Body"/>
        <w:ind w:left="-567" w:right="261"/>
        <w:rPr>
          <w:color w:val="auto"/>
        </w:rPr>
      </w:pPr>
      <w:r w:rsidRPr="00125705">
        <w:rPr>
          <w:color w:val="auto"/>
        </w:rPr>
        <w:tab/>
      </w:r>
      <w:r w:rsidRPr="00125705">
        <w:rPr>
          <w:b/>
          <w:color w:val="auto"/>
        </w:rPr>
        <w:t>C</w:t>
      </w:r>
      <w:r w:rsidR="0058655A" w:rsidRPr="00125705">
        <w:rPr>
          <w:b/>
          <w:color w:val="auto"/>
        </w:rPr>
        <w:t>orporate Duties</w:t>
      </w:r>
    </w:p>
    <w:p w:rsidR="0058655A" w:rsidRPr="00125705" w:rsidRDefault="0058655A" w:rsidP="0058655A">
      <w:pPr>
        <w:pStyle w:val="BodyText"/>
        <w:widowControl w:val="0"/>
        <w:tabs>
          <w:tab w:val="left" w:pos="-720"/>
        </w:tabs>
        <w:suppressAutoHyphens/>
        <w:rPr>
          <w:rFonts w:cs="Arial"/>
          <w:sz w:val="22"/>
          <w:szCs w:val="22"/>
        </w:rPr>
      </w:pPr>
    </w:p>
    <w:p w:rsidR="0058655A" w:rsidRPr="00125705" w:rsidRDefault="0058655A" w:rsidP="0058655A">
      <w:pPr>
        <w:pStyle w:val="BodyText"/>
        <w:widowControl w:val="0"/>
        <w:tabs>
          <w:tab w:val="left" w:pos="-720"/>
        </w:tabs>
        <w:suppressAutoHyphens/>
        <w:rPr>
          <w:rFonts w:cs="Arial"/>
          <w:sz w:val="22"/>
          <w:szCs w:val="22"/>
        </w:rPr>
      </w:pPr>
      <w:r w:rsidRPr="00125705">
        <w:rPr>
          <w:rFonts w:cs="Arial"/>
          <w:sz w:val="22"/>
          <w:szCs w:val="22"/>
        </w:rPr>
        <w:t>Avoid any behaviour which discriminates against your fellow employees, or potential employees on the grounds of their sex, sexual orientation, marital status, race, religion, creed, colour, nationality, ethnic origin or disability.</w:t>
      </w:r>
    </w:p>
    <w:p w:rsidR="0058655A" w:rsidRPr="00125705" w:rsidRDefault="0058655A" w:rsidP="0058655A">
      <w:pPr>
        <w:pStyle w:val="BodyText"/>
        <w:widowControl w:val="0"/>
        <w:tabs>
          <w:tab w:val="left" w:pos="-720"/>
        </w:tabs>
        <w:suppressAutoHyphens/>
        <w:rPr>
          <w:rFonts w:cs="Arial"/>
          <w:sz w:val="22"/>
          <w:szCs w:val="22"/>
        </w:rPr>
      </w:pPr>
    </w:p>
    <w:p w:rsidR="0058655A" w:rsidRPr="00125705" w:rsidRDefault="0058655A" w:rsidP="0058655A">
      <w:pPr>
        <w:widowControl w:val="0"/>
        <w:tabs>
          <w:tab w:val="left" w:pos="-720"/>
        </w:tabs>
        <w:suppressAutoHyphens/>
        <w:jc w:val="both"/>
        <w:rPr>
          <w:rFonts w:ascii="Arial" w:hAnsi="Arial" w:cs="Arial"/>
          <w:sz w:val="22"/>
          <w:szCs w:val="22"/>
          <w:lang w:val="en-GB"/>
        </w:rPr>
      </w:pPr>
      <w:r w:rsidRPr="00125705">
        <w:rPr>
          <w:rFonts w:ascii="Arial" w:hAnsi="Arial" w:cs="Arial"/>
          <w:sz w:val="22"/>
          <w:szCs w:val="22"/>
          <w:lang w:val="en-GB"/>
        </w:rPr>
        <w:t>Safeguard at all times confidentiality of information relating to staff and pensioners.</w:t>
      </w:r>
    </w:p>
    <w:p w:rsidR="0058655A" w:rsidRPr="00125705" w:rsidRDefault="0058655A" w:rsidP="0058655A">
      <w:pPr>
        <w:widowControl w:val="0"/>
        <w:tabs>
          <w:tab w:val="left" w:pos="-720"/>
        </w:tabs>
        <w:suppressAutoHyphens/>
        <w:jc w:val="both"/>
        <w:rPr>
          <w:rFonts w:ascii="Arial" w:hAnsi="Arial" w:cs="Arial"/>
          <w:sz w:val="22"/>
          <w:szCs w:val="22"/>
          <w:lang w:val="en-GB"/>
        </w:rPr>
      </w:pPr>
      <w:r w:rsidRPr="00125705">
        <w:rPr>
          <w:rFonts w:ascii="Arial" w:hAnsi="Arial" w:cs="Arial"/>
          <w:sz w:val="22"/>
          <w:szCs w:val="22"/>
          <w:lang w:val="en-GB"/>
        </w:rPr>
        <w:t>Refrain from smoking in any areas of Service premises.</w:t>
      </w:r>
    </w:p>
    <w:p w:rsidR="0058655A" w:rsidRPr="00125705" w:rsidRDefault="0058655A" w:rsidP="0058655A">
      <w:pPr>
        <w:widowControl w:val="0"/>
        <w:tabs>
          <w:tab w:val="left" w:pos="-720"/>
        </w:tabs>
        <w:suppressAutoHyphens/>
        <w:jc w:val="both"/>
        <w:rPr>
          <w:rFonts w:ascii="Arial" w:hAnsi="Arial" w:cs="Arial"/>
          <w:sz w:val="22"/>
          <w:szCs w:val="22"/>
          <w:lang w:val="en-GB"/>
        </w:rPr>
      </w:pPr>
      <w:r w:rsidRPr="00125705">
        <w:rPr>
          <w:rFonts w:ascii="Arial" w:hAnsi="Arial" w:cs="Arial"/>
          <w:sz w:val="22"/>
          <w:szCs w:val="22"/>
          <w:lang w:val="en-GB"/>
        </w:rPr>
        <w:t>Behave in a manner that ensures the security of property and resources.</w:t>
      </w:r>
    </w:p>
    <w:p w:rsidR="0058655A" w:rsidRPr="00125705" w:rsidRDefault="0058655A" w:rsidP="0058655A">
      <w:pPr>
        <w:widowControl w:val="0"/>
        <w:tabs>
          <w:tab w:val="left" w:pos="-720"/>
        </w:tabs>
        <w:suppressAutoHyphens/>
        <w:jc w:val="both"/>
        <w:rPr>
          <w:rFonts w:ascii="Arial" w:hAnsi="Arial" w:cs="Arial"/>
          <w:sz w:val="22"/>
          <w:szCs w:val="22"/>
          <w:lang w:val="en-GB"/>
        </w:rPr>
      </w:pPr>
      <w:r w:rsidRPr="00125705">
        <w:rPr>
          <w:rFonts w:ascii="Arial" w:hAnsi="Arial" w:cs="Arial"/>
          <w:sz w:val="22"/>
          <w:szCs w:val="22"/>
          <w:lang w:val="en-GB"/>
        </w:rPr>
        <w:t>Abide by all relevant Service Policies and Procedures.</w:t>
      </w:r>
    </w:p>
    <w:p w:rsidR="0058655A" w:rsidRPr="00125705" w:rsidRDefault="0058655A" w:rsidP="0058655A">
      <w:pPr>
        <w:pStyle w:val="ListParagraph"/>
        <w:ind w:left="0"/>
        <w:jc w:val="both"/>
        <w:rPr>
          <w:color w:val="auto"/>
          <w:lang w:val="en-GB"/>
        </w:rPr>
      </w:pPr>
    </w:p>
    <w:p w:rsidR="0058655A" w:rsidRPr="00125705" w:rsidRDefault="0058655A" w:rsidP="0058655A">
      <w:pPr>
        <w:tabs>
          <w:tab w:val="left" w:pos="1134"/>
        </w:tabs>
        <w:contextualSpacing/>
        <w:jc w:val="both"/>
        <w:rPr>
          <w:rFonts w:ascii="Arial" w:hAnsi="Arial" w:cs="Arial"/>
          <w:sz w:val="22"/>
          <w:szCs w:val="22"/>
          <w:lang w:val="en-GB"/>
        </w:rPr>
      </w:pPr>
      <w:r w:rsidRPr="00125705">
        <w:rPr>
          <w:rFonts w:ascii="Arial" w:hAnsi="Arial" w:cs="Arial"/>
          <w:b/>
          <w:sz w:val="22"/>
          <w:szCs w:val="22"/>
          <w:lang w:val="en-GB"/>
        </w:rPr>
        <w:t xml:space="preserve">Records Management/ Data Protection - </w:t>
      </w:r>
      <w:r w:rsidRPr="00125705">
        <w:rPr>
          <w:rFonts w:ascii="Arial" w:hAnsi="Arial" w:cs="Arial"/>
          <w:sz w:val="22"/>
          <w:szCs w:val="22"/>
          <w:lang w:val="en-GB"/>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125705" w:rsidRDefault="0058655A" w:rsidP="0058655A">
      <w:pPr>
        <w:pStyle w:val="BodyTextIndent3"/>
        <w:tabs>
          <w:tab w:val="left" w:pos="1134"/>
        </w:tabs>
        <w:spacing w:after="0"/>
        <w:ind w:left="0"/>
        <w:contextualSpacing/>
        <w:jc w:val="both"/>
        <w:rPr>
          <w:rFonts w:ascii="Arial" w:hAnsi="Arial" w:cs="Arial"/>
          <w:sz w:val="22"/>
          <w:szCs w:val="22"/>
          <w:lang w:val="en-GB"/>
        </w:rPr>
      </w:pPr>
    </w:p>
    <w:p w:rsidR="0058655A" w:rsidRPr="00125705" w:rsidRDefault="0058655A" w:rsidP="0058655A">
      <w:pPr>
        <w:tabs>
          <w:tab w:val="left" w:pos="1134"/>
        </w:tabs>
        <w:contextualSpacing/>
        <w:jc w:val="both"/>
        <w:rPr>
          <w:rFonts w:ascii="Arial" w:hAnsi="Arial" w:cs="Arial"/>
          <w:sz w:val="22"/>
          <w:szCs w:val="22"/>
          <w:lang w:val="en-GB"/>
        </w:rPr>
      </w:pPr>
      <w:r w:rsidRPr="00125705">
        <w:rPr>
          <w:rFonts w:ascii="Arial" w:hAnsi="Arial" w:cs="Arial"/>
          <w:b/>
          <w:sz w:val="22"/>
          <w:szCs w:val="22"/>
          <w:lang w:val="en-GB"/>
        </w:rPr>
        <w:t xml:space="preserve">Confidentiality and Information Security - </w:t>
      </w:r>
      <w:r w:rsidRPr="00125705">
        <w:rPr>
          <w:rFonts w:ascii="Arial" w:hAnsi="Arial" w:cs="Arial"/>
          <w:sz w:val="22"/>
          <w:szCs w:val="22"/>
          <w:lang w:val="en-GB"/>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125705" w:rsidRDefault="0058655A" w:rsidP="0058655A">
      <w:pPr>
        <w:contextualSpacing/>
        <w:jc w:val="both"/>
        <w:rPr>
          <w:rFonts w:ascii="Arial" w:hAnsi="Arial" w:cs="Arial"/>
          <w:sz w:val="22"/>
          <w:szCs w:val="22"/>
          <w:lang w:val="en-GB"/>
        </w:rPr>
      </w:pPr>
      <w:r w:rsidRPr="00125705">
        <w:rPr>
          <w:rFonts w:ascii="Arial" w:hAnsi="Arial" w:cs="Arial"/>
          <w:sz w:val="22"/>
          <w:szCs w:val="22"/>
          <w:lang w:val="en-GB"/>
        </w:rPr>
        <w:t xml:space="preserve"> </w:t>
      </w:r>
    </w:p>
    <w:p w:rsidR="0058655A" w:rsidRPr="00125705" w:rsidRDefault="0058655A" w:rsidP="0058655A">
      <w:pPr>
        <w:contextualSpacing/>
        <w:jc w:val="both"/>
        <w:rPr>
          <w:rFonts w:ascii="Arial" w:hAnsi="Arial" w:cs="Arial"/>
          <w:sz w:val="22"/>
          <w:szCs w:val="22"/>
          <w:lang w:val="en-GB"/>
        </w:rPr>
      </w:pPr>
      <w:r w:rsidRPr="00125705">
        <w:rPr>
          <w:rFonts w:ascii="Arial" w:hAnsi="Arial" w:cs="Arial"/>
          <w:b/>
          <w:sz w:val="22"/>
          <w:szCs w:val="22"/>
          <w:lang w:val="en-GB"/>
        </w:rPr>
        <w:t xml:space="preserve">Data Quality - </w:t>
      </w:r>
      <w:r w:rsidRPr="00125705">
        <w:rPr>
          <w:rFonts w:ascii="Arial" w:hAnsi="Arial" w:cs="Arial"/>
          <w:sz w:val="22"/>
          <w:szCs w:val="22"/>
          <w:lang w:val="en-GB"/>
        </w:rPr>
        <w:t>All staff are personally responsible</w:t>
      </w:r>
      <w:r w:rsidRPr="00125705">
        <w:rPr>
          <w:rFonts w:ascii="Arial" w:hAnsi="Arial" w:cs="Arial"/>
          <w:b/>
          <w:bCs/>
          <w:sz w:val="22"/>
          <w:szCs w:val="22"/>
          <w:lang w:val="en-GB"/>
        </w:rPr>
        <w:t xml:space="preserve"> </w:t>
      </w:r>
      <w:r w:rsidRPr="00125705">
        <w:rPr>
          <w:rFonts w:ascii="Arial" w:hAnsi="Arial" w:cs="Arial"/>
          <w:sz w:val="22"/>
          <w:szCs w:val="22"/>
          <w:lang w:val="en-GB"/>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8655A" w:rsidRPr="00125705" w:rsidRDefault="0058655A" w:rsidP="0058655A">
      <w:pPr>
        <w:jc w:val="both"/>
        <w:rPr>
          <w:rFonts w:ascii="Arial" w:hAnsi="Arial" w:cs="Arial"/>
          <w:sz w:val="22"/>
          <w:szCs w:val="22"/>
          <w:lang w:val="en-GB"/>
        </w:rPr>
      </w:pPr>
      <w:r w:rsidRPr="00125705">
        <w:rPr>
          <w:rFonts w:ascii="Arial" w:hAnsi="Arial" w:cs="Arial"/>
          <w:sz w:val="22"/>
          <w:szCs w:val="22"/>
          <w:lang w:val="en-GB"/>
        </w:rPr>
        <w:t>  </w:t>
      </w:r>
    </w:p>
    <w:p w:rsidR="0058655A" w:rsidRPr="00125705" w:rsidRDefault="0058655A" w:rsidP="0058655A">
      <w:pPr>
        <w:jc w:val="both"/>
        <w:rPr>
          <w:rFonts w:ascii="Arial" w:hAnsi="Arial" w:cs="Arial"/>
          <w:sz w:val="22"/>
          <w:szCs w:val="22"/>
          <w:lang w:val="en-GB"/>
        </w:rPr>
      </w:pPr>
      <w:r w:rsidRPr="00125705">
        <w:rPr>
          <w:rFonts w:ascii="Arial" w:hAnsi="Arial" w:cs="Arial"/>
          <w:sz w:val="22"/>
          <w:szCs w:val="22"/>
          <w:lang w:val="en-GB"/>
        </w:rPr>
        <w:t xml:space="preserve">To ensure data is handled in a secure manner protecting the confidentiality of any personal data held in meeting the requirements of the Data Protection Act. </w:t>
      </w:r>
    </w:p>
    <w:p w:rsidR="0058655A" w:rsidRPr="00125705" w:rsidRDefault="0058655A" w:rsidP="0058655A">
      <w:pPr>
        <w:tabs>
          <w:tab w:val="left" w:pos="1134"/>
        </w:tabs>
        <w:contextualSpacing/>
        <w:jc w:val="both"/>
        <w:rPr>
          <w:rFonts w:ascii="Arial" w:hAnsi="Arial" w:cs="Arial"/>
          <w:sz w:val="22"/>
          <w:szCs w:val="22"/>
          <w:lang w:val="en-GB"/>
        </w:rPr>
      </w:pPr>
    </w:p>
    <w:p w:rsidR="0058655A" w:rsidRPr="00125705" w:rsidRDefault="0058655A" w:rsidP="0058655A">
      <w:pPr>
        <w:tabs>
          <w:tab w:val="left" w:pos="1134"/>
        </w:tabs>
        <w:contextualSpacing/>
        <w:jc w:val="both"/>
        <w:rPr>
          <w:rFonts w:ascii="Arial" w:hAnsi="Arial" w:cs="Arial"/>
          <w:sz w:val="22"/>
          <w:szCs w:val="22"/>
          <w:lang w:val="en-GB"/>
        </w:rPr>
      </w:pPr>
      <w:r w:rsidRPr="00125705">
        <w:rPr>
          <w:rFonts w:ascii="Arial" w:hAnsi="Arial" w:cs="Arial"/>
          <w:b/>
          <w:sz w:val="22"/>
          <w:szCs w:val="22"/>
          <w:lang w:val="en-GB"/>
        </w:rPr>
        <w:t xml:space="preserve">Health and Safety - </w:t>
      </w:r>
      <w:r w:rsidRPr="00125705">
        <w:rPr>
          <w:rFonts w:ascii="Arial" w:hAnsi="Arial" w:cs="Arial"/>
          <w:sz w:val="22"/>
          <w:szCs w:val="22"/>
          <w:lang w:val="en-GB"/>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58655A" w:rsidRPr="00125705" w:rsidRDefault="0058655A" w:rsidP="0058655A">
      <w:pPr>
        <w:tabs>
          <w:tab w:val="left" w:pos="1134"/>
        </w:tabs>
        <w:contextualSpacing/>
        <w:jc w:val="both"/>
        <w:rPr>
          <w:rFonts w:ascii="Arial" w:hAnsi="Arial" w:cs="Arial"/>
          <w:sz w:val="22"/>
          <w:szCs w:val="22"/>
          <w:lang w:val="en-GB"/>
        </w:rPr>
      </w:pPr>
    </w:p>
    <w:p w:rsidR="0058655A" w:rsidRPr="00125705" w:rsidRDefault="0058655A" w:rsidP="0058655A">
      <w:pPr>
        <w:tabs>
          <w:tab w:val="left" w:pos="1134"/>
        </w:tabs>
        <w:contextualSpacing/>
        <w:jc w:val="both"/>
        <w:rPr>
          <w:rFonts w:ascii="Arial" w:hAnsi="Arial" w:cs="Arial"/>
          <w:sz w:val="22"/>
          <w:szCs w:val="22"/>
          <w:lang w:val="en-GB"/>
        </w:rPr>
      </w:pPr>
      <w:r w:rsidRPr="00125705">
        <w:rPr>
          <w:rFonts w:ascii="Arial" w:hAnsi="Arial" w:cs="Arial"/>
          <w:b/>
          <w:sz w:val="22"/>
          <w:szCs w:val="22"/>
          <w:lang w:val="en-GB"/>
        </w:rPr>
        <w:t xml:space="preserve">Service Policies - </w:t>
      </w:r>
      <w:r w:rsidRPr="00125705">
        <w:rPr>
          <w:rFonts w:ascii="Arial" w:hAnsi="Arial" w:cs="Arial"/>
          <w:sz w:val="22"/>
          <w:szCs w:val="22"/>
          <w:lang w:val="en-GB"/>
        </w:rPr>
        <w:t>All GMCA employees must observe and adhere to the provisions outlined in these policies.</w:t>
      </w:r>
    </w:p>
    <w:p w:rsidR="0058655A" w:rsidRPr="00125705" w:rsidRDefault="0058655A" w:rsidP="0058655A">
      <w:pPr>
        <w:contextualSpacing/>
        <w:jc w:val="both"/>
        <w:rPr>
          <w:rFonts w:ascii="Arial" w:hAnsi="Arial" w:cs="Arial"/>
          <w:sz w:val="22"/>
          <w:szCs w:val="22"/>
          <w:lang w:val="en-GB"/>
        </w:rPr>
      </w:pPr>
    </w:p>
    <w:p w:rsidR="00A6609A" w:rsidRPr="00125705" w:rsidRDefault="0058655A" w:rsidP="0058655A">
      <w:pPr>
        <w:pStyle w:val="Body"/>
        <w:ind w:right="261"/>
        <w:rPr>
          <w:rFonts w:eastAsia="Calibri"/>
          <w:b/>
          <w:bCs/>
          <w:iCs/>
          <w:color w:val="auto"/>
        </w:rPr>
      </w:pPr>
      <w:r w:rsidRPr="00125705">
        <w:rPr>
          <w:b/>
          <w:color w:val="auto"/>
        </w:rPr>
        <w:t xml:space="preserve">Equal Opportunities - </w:t>
      </w:r>
      <w:r w:rsidRPr="00125705">
        <w:rPr>
          <w:color w:val="auto"/>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125705" w:rsidSect="004860D7">
      <w:headerReference w:type="default" r:id="rId12"/>
      <w:footerReference w:type="default" r:id="rId13"/>
      <w:pgSz w:w="11900" w:h="16840"/>
      <w:pgMar w:top="993" w:right="1440" w:bottom="851" w:left="993"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3F" w:rsidRDefault="00EA133F">
      <w:r>
        <w:separator/>
      </w:r>
    </w:p>
  </w:endnote>
  <w:endnote w:type="continuationSeparator" w:id="0">
    <w:p w:rsidR="00EA133F" w:rsidRDefault="00EA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D05248" w:rsidRDefault="00D05248" w:rsidP="00E4166D">
        <w:pPr>
          <w:pStyle w:val="Footer"/>
          <w:jc w:val="center"/>
        </w:pPr>
        <w:r>
          <w:fldChar w:fldCharType="begin"/>
        </w:r>
        <w:r>
          <w:instrText xml:space="preserve"> PAGE   \* MERGEFORMAT </w:instrText>
        </w:r>
        <w:r>
          <w:fldChar w:fldCharType="separate"/>
        </w:r>
        <w:r w:rsidR="00AA498C">
          <w:rPr>
            <w:noProof/>
          </w:rPr>
          <w:t>3</w:t>
        </w:r>
        <w:r>
          <w:rPr>
            <w:noProof/>
          </w:rPr>
          <w:fldChar w:fldCharType="end"/>
        </w:r>
      </w:p>
    </w:sdtContent>
  </w:sdt>
  <w:p w:rsidR="00D05248" w:rsidRDefault="00D05248"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3F" w:rsidRDefault="00EA133F">
      <w:r>
        <w:separator/>
      </w:r>
    </w:p>
  </w:footnote>
  <w:footnote w:type="continuationSeparator" w:id="0">
    <w:p w:rsidR="00EA133F" w:rsidRDefault="00EA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48" w:rsidRDefault="00D05248"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1BE"/>
    <w:multiLevelType w:val="multilevel"/>
    <w:tmpl w:val="B4C2E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67F70"/>
    <w:multiLevelType w:val="hybridMultilevel"/>
    <w:tmpl w:val="A0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1234"/>
    <w:rsid w:val="00053F00"/>
    <w:rsid w:val="00056616"/>
    <w:rsid w:val="00057C2E"/>
    <w:rsid w:val="00067DB9"/>
    <w:rsid w:val="000702B5"/>
    <w:rsid w:val="0008246E"/>
    <w:rsid w:val="00090154"/>
    <w:rsid w:val="000A5644"/>
    <w:rsid w:val="000B3A4F"/>
    <w:rsid w:val="000B5B95"/>
    <w:rsid w:val="000B78A9"/>
    <w:rsid w:val="000C04D7"/>
    <w:rsid w:val="000D2624"/>
    <w:rsid w:val="000D366B"/>
    <w:rsid w:val="000D63C2"/>
    <w:rsid w:val="000F4F2D"/>
    <w:rsid w:val="00113EC4"/>
    <w:rsid w:val="00125705"/>
    <w:rsid w:val="00133F17"/>
    <w:rsid w:val="00140286"/>
    <w:rsid w:val="00141700"/>
    <w:rsid w:val="00150DE8"/>
    <w:rsid w:val="00161AE0"/>
    <w:rsid w:val="00166295"/>
    <w:rsid w:val="001773AA"/>
    <w:rsid w:val="00183D7D"/>
    <w:rsid w:val="00187FF4"/>
    <w:rsid w:val="001922C9"/>
    <w:rsid w:val="001B32BA"/>
    <w:rsid w:val="001B7244"/>
    <w:rsid w:val="001C23E1"/>
    <w:rsid w:val="001C7DB1"/>
    <w:rsid w:val="001D0DD9"/>
    <w:rsid w:val="001D13CF"/>
    <w:rsid w:val="001D18B9"/>
    <w:rsid w:val="001E052C"/>
    <w:rsid w:val="001F2E68"/>
    <w:rsid w:val="00203B18"/>
    <w:rsid w:val="00207877"/>
    <w:rsid w:val="00212BC1"/>
    <w:rsid w:val="00212EEC"/>
    <w:rsid w:val="002146D6"/>
    <w:rsid w:val="00227B22"/>
    <w:rsid w:val="002309B1"/>
    <w:rsid w:val="00234016"/>
    <w:rsid w:val="00247F34"/>
    <w:rsid w:val="002508A2"/>
    <w:rsid w:val="002553D0"/>
    <w:rsid w:val="00270280"/>
    <w:rsid w:val="002730F5"/>
    <w:rsid w:val="002809CC"/>
    <w:rsid w:val="00287276"/>
    <w:rsid w:val="002910CB"/>
    <w:rsid w:val="00293533"/>
    <w:rsid w:val="002A14A8"/>
    <w:rsid w:val="002A214F"/>
    <w:rsid w:val="002B32EC"/>
    <w:rsid w:val="002B53A0"/>
    <w:rsid w:val="002C0B6F"/>
    <w:rsid w:val="002D5EC6"/>
    <w:rsid w:val="002E2B3F"/>
    <w:rsid w:val="0030701F"/>
    <w:rsid w:val="00315011"/>
    <w:rsid w:val="0036088E"/>
    <w:rsid w:val="00362C2D"/>
    <w:rsid w:val="00363067"/>
    <w:rsid w:val="003652B8"/>
    <w:rsid w:val="00366237"/>
    <w:rsid w:val="003668CF"/>
    <w:rsid w:val="00375448"/>
    <w:rsid w:val="00385133"/>
    <w:rsid w:val="00390E5A"/>
    <w:rsid w:val="003A2FFD"/>
    <w:rsid w:val="00405CB8"/>
    <w:rsid w:val="00416A55"/>
    <w:rsid w:val="00422D4E"/>
    <w:rsid w:val="004258D2"/>
    <w:rsid w:val="004320AF"/>
    <w:rsid w:val="00441105"/>
    <w:rsid w:val="00452032"/>
    <w:rsid w:val="00453C7B"/>
    <w:rsid w:val="0046716A"/>
    <w:rsid w:val="00473AD5"/>
    <w:rsid w:val="00475558"/>
    <w:rsid w:val="00475A3D"/>
    <w:rsid w:val="00484CE1"/>
    <w:rsid w:val="00485760"/>
    <w:rsid w:val="004860D7"/>
    <w:rsid w:val="004922CE"/>
    <w:rsid w:val="004A6198"/>
    <w:rsid w:val="004C4244"/>
    <w:rsid w:val="004C42ED"/>
    <w:rsid w:val="004C6356"/>
    <w:rsid w:val="004E0ED8"/>
    <w:rsid w:val="004E2DC5"/>
    <w:rsid w:val="004E2FE0"/>
    <w:rsid w:val="004F09E5"/>
    <w:rsid w:val="004F1B44"/>
    <w:rsid w:val="004F62A4"/>
    <w:rsid w:val="00501AC3"/>
    <w:rsid w:val="005021FF"/>
    <w:rsid w:val="00502FA2"/>
    <w:rsid w:val="0051145E"/>
    <w:rsid w:val="00525992"/>
    <w:rsid w:val="00544712"/>
    <w:rsid w:val="00555ACA"/>
    <w:rsid w:val="0055672D"/>
    <w:rsid w:val="00557E8E"/>
    <w:rsid w:val="00561818"/>
    <w:rsid w:val="005621C0"/>
    <w:rsid w:val="00562626"/>
    <w:rsid w:val="005655BE"/>
    <w:rsid w:val="0058655A"/>
    <w:rsid w:val="005D13F0"/>
    <w:rsid w:val="005E50A2"/>
    <w:rsid w:val="005F14E7"/>
    <w:rsid w:val="005F2188"/>
    <w:rsid w:val="005F4403"/>
    <w:rsid w:val="00600A7D"/>
    <w:rsid w:val="006126C0"/>
    <w:rsid w:val="0061416F"/>
    <w:rsid w:val="00621B1A"/>
    <w:rsid w:val="00624E48"/>
    <w:rsid w:val="006303BC"/>
    <w:rsid w:val="006333D1"/>
    <w:rsid w:val="006355B2"/>
    <w:rsid w:val="00636B26"/>
    <w:rsid w:val="00661D82"/>
    <w:rsid w:val="00671141"/>
    <w:rsid w:val="00676D10"/>
    <w:rsid w:val="006817FE"/>
    <w:rsid w:val="00695D4E"/>
    <w:rsid w:val="006A6200"/>
    <w:rsid w:val="006B0043"/>
    <w:rsid w:val="006B6B53"/>
    <w:rsid w:val="006B7D11"/>
    <w:rsid w:val="006C2DDC"/>
    <w:rsid w:val="006C60EF"/>
    <w:rsid w:val="006C7FA1"/>
    <w:rsid w:val="006D4797"/>
    <w:rsid w:val="006F1366"/>
    <w:rsid w:val="00700226"/>
    <w:rsid w:val="00704441"/>
    <w:rsid w:val="00715587"/>
    <w:rsid w:val="0072353A"/>
    <w:rsid w:val="007250FD"/>
    <w:rsid w:val="007362DB"/>
    <w:rsid w:val="00736C24"/>
    <w:rsid w:val="00742EE8"/>
    <w:rsid w:val="007467DA"/>
    <w:rsid w:val="00756017"/>
    <w:rsid w:val="00776EF4"/>
    <w:rsid w:val="0078256C"/>
    <w:rsid w:val="00787672"/>
    <w:rsid w:val="00792382"/>
    <w:rsid w:val="0079569A"/>
    <w:rsid w:val="007961ED"/>
    <w:rsid w:val="007A2EEB"/>
    <w:rsid w:val="007A41F4"/>
    <w:rsid w:val="007B6D17"/>
    <w:rsid w:val="007C0E7B"/>
    <w:rsid w:val="008101E9"/>
    <w:rsid w:val="00820FBB"/>
    <w:rsid w:val="00827048"/>
    <w:rsid w:val="0082759B"/>
    <w:rsid w:val="00833C71"/>
    <w:rsid w:val="00845A53"/>
    <w:rsid w:val="0085006C"/>
    <w:rsid w:val="00855701"/>
    <w:rsid w:val="008674DC"/>
    <w:rsid w:val="008805B9"/>
    <w:rsid w:val="00884C7D"/>
    <w:rsid w:val="0088517E"/>
    <w:rsid w:val="00887367"/>
    <w:rsid w:val="008A27F0"/>
    <w:rsid w:val="008A3EA7"/>
    <w:rsid w:val="008A611D"/>
    <w:rsid w:val="008A659A"/>
    <w:rsid w:val="008B0AC2"/>
    <w:rsid w:val="008B0BDA"/>
    <w:rsid w:val="008B1627"/>
    <w:rsid w:val="008B4F04"/>
    <w:rsid w:val="008C71EE"/>
    <w:rsid w:val="008C7DD7"/>
    <w:rsid w:val="008E0C41"/>
    <w:rsid w:val="008E76A8"/>
    <w:rsid w:val="008F16A7"/>
    <w:rsid w:val="008F58C6"/>
    <w:rsid w:val="0090795C"/>
    <w:rsid w:val="0091338A"/>
    <w:rsid w:val="009220B8"/>
    <w:rsid w:val="00924805"/>
    <w:rsid w:val="009317CB"/>
    <w:rsid w:val="009330D4"/>
    <w:rsid w:val="00941574"/>
    <w:rsid w:val="00945CAF"/>
    <w:rsid w:val="00946B02"/>
    <w:rsid w:val="00951A3A"/>
    <w:rsid w:val="0097049C"/>
    <w:rsid w:val="009705E1"/>
    <w:rsid w:val="00974CD7"/>
    <w:rsid w:val="009907F9"/>
    <w:rsid w:val="0099355A"/>
    <w:rsid w:val="009A10B8"/>
    <w:rsid w:val="009B3D37"/>
    <w:rsid w:val="009D55AE"/>
    <w:rsid w:val="009D6BCF"/>
    <w:rsid w:val="009E2EC9"/>
    <w:rsid w:val="009F2332"/>
    <w:rsid w:val="00A017D8"/>
    <w:rsid w:val="00A10570"/>
    <w:rsid w:val="00A209D0"/>
    <w:rsid w:val="00A23ACE"/>
    <w:rsid w:val="00A248E8"/>
    <w:rsid w:val="00A301A9"/>
    <w:rsid w:val="00A41C91"/>
    <w:rsid w:val="00A5029B"/>
    <w:rsid w:val="00A52412"/>
    <w:rsid w:val="00A6609A"/>
    <w:rsid w:val="00A8000E"/>
    <w:rsid w:val="00A841E7"/>
    <w:rsid w:val="00A86650"/>
    <w:rsid w:val="00AA498C"/>
    <w:rsid w:val="00AC25CE"/>
    <w:rsid w:val="00AD1D7A"/>
    <w:rsid w:val="00AD47AF"/>
    <w:rsid w:val="00AF6982"/>
    <w:rsid w:val="00AF77C2"/>
    <w:rsid w:val="00B04004"/>
    <w:rsid w:val="00B044A6"/>
    <w:rsid w:val="00B2152F"/>
    <w:rsid w:val="00B24A2E"/>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316D"/>
    <w:rsid w:val="00B8522B"/>
    <w:rsid w:val="00B9014D"/>
    <w:rsid w:val="00BA1D57"/>
    <w:rsid w:val="00BB734A"/>
    <w:rsid w:val="00BD15DA"/>
    <w:rsid w:val="00BD4A07"/>
    <w:rsid w:val="00BD4D71"/>
    <w:rsid w:val="00BD4F24"/>
    <w:rsid w:val="00BE4293"/>
    <w:rsid w:val="00BF37A1"/>
    <w:rsid w:val="00BF4777"/>
    <w:rsid w:val="00BF5CE1"/>
    <w:rsid w:val="00BF6447"/>
    <w:rsid w:val="00C02973"/>
    <w:rsid w:val="00C07151"/>
    <w:rsid w:val="00C16A74"/>
    <w:rsid w:val="00C442CF"/>
    <w:rsid w:val="00C51E82"/>
    <w:rsid w:val="00C96964"/>
    <w:rsid w:val="00CA343A"/>
    <w:rsid w:val="00CA3507"/>
    <w:rsid w:val="00CA6C6E"/>
    <w:rsid w:val="00CA7D5A"/>
    <w:rsid w:val="00CD0F75"/>
    <w:rsid w:val="00CD5FA2"/>
    <w:rsid w:val="00CE224F"/>
    <w:rsid w:val="00D043B0"/>
    <w:rsid w:val="00D05248"/>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92E88"/>
    <w:rsid w:val="00DB0DF5"/>
    <w:rsid w:val="00DB2196"/>
    <w:rsid w:val="00DB316D"/>
    <w:rsid w:val="00DC051D"/>
    <w:rsid w:val="00DC2BE2"/>
    <w:rsid w:val="00DC457C"/>
    <w:rsid w:val="00DD24E1"/>
    <w:rsid w:val="00DD283D"/>
    <w:rsid w:val="00DD4A7C"/>
    <w:rsid w:val="00DE2150"/>
    <w:rsid w:val="00DE21DF"/>
    <w:rsid w:val="00DE39C9"/>
    <w:rsid w:val="00DE59E0"/>
    <w:rsid w:val="00DF11F0"/>
    <w:rsid w:val="00DF2A90"/>
    <w:rsid w:val="00DF452B"/>
    <w:rsid w:val="00E0713C"/>
    <w:rsid w:val="00E1046E"/>
    <w:rsid w:val="00E11D59"/>
    <w:rsid w:val="00E15D6A"/>
    <w:rsid w:val="00E17384"/>
    <w:rsid w:val="00E17DB7"/>
    <w:rsid w:val="00E255FA"/>
    <w:rsid w:val="00E26D59"/>
    <w:rsid w:val="00E4166D"/>
    <w:rsid w:val="00E50E37"/>
    <w:rsid w:val="00E5273A"/>
    <w:rsid w:val="00E54CB5"/>
    <w:rsid w:val="00E57B6F"/>
    <w:rsid w:val="00E675AB"/>
    <w:rsid w:val="00E72FA0"/>
    <w:rsid w:val="00E751E0"/>
    <w:rsid w:val="00EA133F"/>
    <w:rsid w:val="00EA156E"/>
    <w:rsid w:val="00EA23F1"/>
    <w:rsid w:val="00EB024B"/>
    <w:rsid w:val="00EB6622"/>
    <w:rsid w:val="00EE0B9E"/>
    <w:rsid w:val="00EE1744"/>
    <w:rsid w:val="00EE517B"/>
    <w:rsid w:val="00EF0D8E"/>
    <w:rsid w:val="00F1001C"/>
    <w:rsid w:val="00F2535B"/>
    <w:rsid w:val="00F25E26"/>
    <w:rsid w:val="00F60D8A"/>
    <w:rsid w:val="00F773CF"/>
    <w:rsid w:val="00F77DB9"/>
    <w:rsid w:val="00F84436"/>
    <w:rsid w:val="00F871AF"/>
    <w:rsid w:val="00F951F1"/>
    <w:rsid w:val="00FA1DE4"/>
    <w:rsid w:val="00FA400F"/>
    <w:rsid w:val="00FA4C23"/>
    <w:rsid w:val="00FB15D9"/>
    <w:rsid w:val="00FC1CD3"/>
    <w:rsid w:val="00FD1C2F"/>
    <w:rsid w:val="00FD7430"/>
    <w:rsid w:val="00FD7C8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link w:val="ListParagraphChar"/>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qFormat/>
    <w:locked/>
    <w:rsid w:val="00DE59E0"/>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84">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36357517">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87477505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2d5f03b8-567e-422e-9659-d7f275e19b8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82087396-89ab-4b3e-889a-65b579ca4e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CD6FEB82-5C84-4A03-A5C0-1499AAD7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Wright, Candice</cp:lastModifiedBy>
  <cp:revision>2</cp:revision>
  <cp:lastPrinted>2018-07-30T14:39:00Z</cp:lastPrinted>
  <dcterms:created xsi:type="dcterms:W3CDTF">2019-07-29T09:41:00Z</dcterms:created>
  <dcterms:modified xsi:type="dcterms:W3CDTF">2019-07-29T09:41:00Z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